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3628B" w14:textId="1A30BBF7" w:rsidR="00695808" w:rsidRPr="00DE4F22" w:rsidRDefault="000F2C11">
      <w:pPr>
        <w:tabs>
          <w:tab w:val="left" w:pos="1540"/>
        </w:tabs>
        <w:sectPr w:rsidR="00695808" w:rsidRPr="00DE4F22" w:rsidSect="00E71E0E">
          <w:headerReference w:type="default" r:id="rId9"/>
          <w:footerReference w:type="default" r:id="rId10"/>
          <w:headerReference w:type="first" r:id="rId11"/>
          <w:footerReference w:type="first" r:id="rId12"/>
          <w:pgSz w:w="11906" w:h="16838"/>
          <w:pgMar w:top="1440" w:right="1440" w:bottom="851" w:left="1440" w:header="284" w:footer="567" w:gutter="0"/>
          <w:cols w:space="720"/>
          <w:titlePg/>
          <w:docGrid w:linePitch="326"/>
        </w:sectPr>
      </w:pPr>
      <w:r>
        <w:t xml:space="preserve">                                                      </w:t>
      </w:r>
      <w:r w:rsidR="001E228B">
        <w:t xml:space="preserve">  </w:t>
      </w:r>
    </w:p>
    <w:p w14:paraId="52185838" w14:textId="77777777" w:rsidR="00695808" w:rsidRPr="00DE4F22" w:rsidRDefault="00695808">
      <w:pPr>
        <w:rPr>
          <w:rFonts w:ascii="Georgia" w:eastAsia="Georgia" w:hAnsi="Georgia" w:cs="Georgia"/>
          <w:color w:val="153056"/>
          <w:sz w:val="40"/>
          <w:szCs w:val="40"/>
        </w:rPr>
      </w:pPr>
    </w:p>
    <w:p w14:paraId="0AFD4180" w14:textId="77777777" w:rsidR="00695808" w:rsidRPr="00DE4F22" w:rsidRDefault="00695808">
      <w:pPr>
        <w:rPr>
          <w:rFonts w:ascii="Georgia" w:eastAsia="Georgia" w:hAnsi="Georgia" w:cs="Georgia"/>
          <w:color w:val="153056"/>
          <w:sz w:val="40"/>
          <w:szCs w:val="40"/>
        </w:rPr>
      </w:pPr>
    </w:p>
    <w:p w14:paraId="30C68738" w14:textId="77777777" w:rsidR="00695808" w:rsidRPr="00DE4F22" w:rsidRDefault="00695808">
      <w:pPr>
        <w:rPr>
          <w:rFonts w:ascii="Georgia" w:eastAsia="Georgia" w:hAnsi="Georgia" w:cs="Georgia"/>
          <w:color w:val="153056"/>
          <w:sz w:val="40"/>
          <w:szCs w:val="40"/>
        </w:rPr>
      </w:pPr>
    </w:p>
    <w:p w14:paraId="4B3E4044" w14:textId="77777777" w:rsidR="0068083D" w:rsidRPr="00DE4F22" w:rsidRDefault="0068083D">
      <w:pPr>
        <w:rPr>
          <w:rFonts w:ascii="Georgia" w:eastAsia="Georgia" w:hAnsi="Georgia" w:cs="Georgia"/>
          <w:color w:val="153056"/>
          <w:sz w:val="40"/>
          <w:szCs w:val="40"/>
        </w:rPr>
      </w:pPr>
    </w:p>
    <w:p w14:paraId="2E345123" w14:textId="77777777" w:rsidR="0068083D" w:rsidRPr="00DE4F22" w:rsidRDefault="0068083D">
      <w:pPr>
        <w:rPr>
          <w:rFonts w:ascii="Georgia" w:eastAsia="Georgia" w:hAnsi="Georgia" w:cs="Georgia"/>
          <w:color w:val="153056"/>
          <w:sz w:val="40"/>
          <w:szCs w:val="40"/>
        </w:rPr>
      </w:pPr>
    </w:p>
    <w:p w14:paraId="28197CCA" w14:textId="77777777" w:rsidR="0068083D" w:rsidRPr="00DE4F22" w:rsidRDefault="0068083D">
      <w:pPr>
        <w:rPr>
          <w:rFonts w:ascii="Georgia" w:eastAsia="Georgia" w:hAnsi="Georgia" w:cs="Georgia"/>
          <w:color w:val="153056"/>
          <w:sz w:val="40"/>
          <w:szCs w:val="40"/>
        </w:rPr>
      </w:pPr>
    </w:p>
    <w:p w14:paraId="74D51963" w14:textId="77777777" w:rsidR="00695808" w:rsidRPr="00DE4F22" w:rsidRDefault="00695808">
      <w:pPr>
        <w:rPr>
          <w:rFonts w:ascii="Georgia" w:eastAsia="Georgia" w:hAnsi="Georgia" w:cs="Georgia"/>
          <w:color w:val="153056"/>
          <w:sz w:val="40"/>
          <w:szCs w:val="40"/>
        </w:rPr>
      </w:pPr>
    </w:p>
    <w:p w14:paraId="2E3BDA29" w14:textId="77777777" w:rsidR="00695808" w:rsidRPr="00DE4F22" w:rsidRDefault="00695808">
      <w:pPr>
        <w:rPr>
          <w:rFonts w:ascii="Georgia" w:eastAsia="Georgia" w:hAnsi="Georgia" w:cs="Georgia"/>
          <w:color w:val="153056"/>
          <w:sz w:val="40"/>
          <w:szCs w:val="40"/>
        </w:rPr>
      </w:pPr>
    </w:p>
    <w:p w14:paraId="492D1FA6" w14:textId="77777777" w:rsidR="00695808" w:rsidRPr="00DE4F22" w:rsidRDefault="009C2EB0">
      <w:pPr>
        <w:jc w:val="center"/>
        <w:rPr>
          <w:rFonts w:eastAsia="Georgia"/>
          <w:color w:val="153056"/>
          <w:sz w:val="40"/>
          <w:szCs w:val="40"/>
        </w:rPr>
      </w:pPr>
      <w:r w:rsidRPr="00DE4F22">
        <w:rPr>
          <w:rFonts w:eastAsia="Georgia"/>
          <w:color w:val="153056"/>
          <w:sz w:val="40"/>
          <w:szCs w:val="40"/>
        </w:rPr>
        <w:t>FI</w:t>
      </w:r>
      <w:r w:rsidR="00D86A4F" w:rsidRPr="00DE4F22">
        <w:rPr>
          <w:rFonts w:eastAsia="Georgia"/>
          <w:color w:val="153056"/>
          <w:sz w:val="40"/>
          <w:szCs w:val="40"/>
        </w:rPr>
        <w:t>N</w:t>
      </w:r>
      <w:r w:rsidRPr="00DE4F22">
        <w:rPr>
          <w:rFonts w:eastAsia="Georgia"/>
          <w:color w:val="153056"/>
          <w:sz w:val="40"/>
          <w:szCs w:val="40"/>
        </w:rPr>
        <w:t>ANSIJSKI PLAN</w:t>
      </w:r>
    </w:p>
    <w:p w14:paraId="63240B74" w14:textId="77777777" w:rsidR="00695808" w:rsidRPr="00DE4F22" w:rsidRDefault="00F23061">
      <w:pPr>
        <w:jc w:val="center"/>
        <w:rPr>
          <w:rFonts w:eastAsia="Georgia"/>
          <w:color w:val="153056"/>
          <w:sz w:val="40"/>
          <w:szCs w:val="40"/>
        </w:rPr>
      </w:pPr>
      <w:r w:rsidRPr="00DE4F22">
        <w:rPr>
          <w:rFonts w:eastAsia="Georgia"/>
          <w:color w:val="153056"/>
          <w:sz w:val="40"/>
          <w:szCs w:val="40"/>
        </w:rPr>
        <w:t xml:space="preserve">DOO </w:t>
      </w:r>
      <w:r w:rsidR="009C2EB0" w:rsidRPr="00DE4F22">
        <w:rPr>
          <w:rFonts w:eastAsia="Georgia"/>
          <w:color w:val="153056"/>
          <w:sz w:val="40"/>
          <w:szCs w:val="40"/>
        </w:rPr>
        <w:t>FONDA ZA ZAŠTITU ŽIVOTNE SREDINE</w:t>
      </w:r>
    </w:p>
    <w:p w14:paraId="78D84D69" w14:textId="10DAA768" w:rsidR="00695808" w:rsidRPr="00DE4F22" w:rsidRDefault="009C2EB0">
      <w:pPr>
        <w:jc w:val="center"/>
        <w:rPr>
          <w:rFonts w:eastAsia="Georgia"/>
          <w:color w:val="153056"/>
          <w:sz w:val="40"/>
          <w:szCs w:val="40"/>
        </w:rPr>
      </w:pPr>
      <w:r w:rsidRPr="00DE4F22">
        <w:rPr>
          <w:rFonts w:eastAsia="Georgia"/>
          <w:color w:val="153056"/>
          <w:sz w:val="40"/>
          <w:szCs w:val="40"/>
        </w:rPr>
        <w:t>ZA 202</w:t>
      </w:r>
      <w:r w:rsidR="00FF5693">
        <w:rPr>
          <w:rFonts w:eastAsia="Georgia"/>
          <w:color w:val="153056"/>
          <w:sz w:val="40"/>
          <w:szCs w:val="40"/>
        </w:rPr>
        <w:t>5</w:t>
      </w:r>
      <w:r w:rsidRPr="00DE4F22">
        <w:rPr>
          <w:rFonts w:eastAsia="Georgia"/>
          <w:color w:val="153056"/>
          <w:sz w:val="40"/>
          <w:szCs w:val="40"/>
        </w:rPr>
        <w:t>. GODINU</w:t>
      </w:r>
    </w:p>
    <w:p w14:paraId="1D1EA10B" w14:textId="77777777" w:rsidR="00695808" w:rsidRPr="00DE4F22" w:rsidRDefault="00695808">
      <w:pPr>
        <w:tabs>
          <w:tab w:val="left" w:pos="1540"/>
        </w:tabs>
        <w:rPr>
          <w:rFonts w:ascii="Georgia" w:eastAsia="Georgia" w:hAnsi="Georgia" w:cs="Georgia"/>
          <w:color w:val="153056"/>
        </w:rPr>
      </w:pPr>
    </w:p>
    <w:p w14:paraId="3B14EC0D" w14:textId="77777777" w:rsidR="00695808" w:rsidRPr="00DE4F22" w:rsidRDefault="00695808">
      <w:pPr>
        <w:tabs>
          <w:tab w:val="left" w:pos="1540"/>
        </w:tabs>
        <w:rPr>
          <w:rFonts w:ascii="Georgia" w:eastAsia="Georgia" w:hAnsi="Georgia" w:cs="Georgia"/>
          <w:color w:val="153056"/>
        </w:rPr>
      </w:pPr>
    </w:p>
    <w:p w14:paraId="2CB08C62" w14:textId="77777777" w:rsidR="00695808" w:rsidRPr="00DE4F22" w:rsidRDefault="00695808">
      <w:pPr>
        <w:tabs>
          <w:tab w:val="left" w:pos="1540"/>
        </w:tabs>
        <w:rPr>
          <w:rFonts w:ascii="Georgia" w:eastAsia="Georgia" w:hAnsi="Georgia" w:cs="Georgia"/>
          <w:color w:val="153056"/>
        </w:rPr>
      </w:pPr>
    </w:p>
    <w:p w14:paraId="0C066764" w14:textId="77777777" w:rsidR="00695808" w:rsidRPr="00DE4F22" w:rsidRDefault="00695808">
      <w:pPr>
        <w:tabs>
          <w:tab w:val="left" w:pos="1540"/>
        </w:tabs>
        <w:rPr>
          <w:rFonts w:ascii="Georgia" w:eastAsia="Georgia" w:hAnsi="Georgia" w:cs="Georgia"/>
          <w:color w:val="153056"/>
        </w:rPr>
      </w:pPr>
    </w:p>
    <w:p w14:paraId="6CB92E5C" w14:textId="77777777" w:rsidR="00695808" w:rsidRPr="00DE4F22" w:rsidRDefault="00695808">
      <w:pPr>
        <w:tabs>
          <w:tab w:val="left" w:pos="1540"/>
        </w:tabs>
        <w:rPr>
          <w:rFonts w:ascii="Georgia" w:eastAsia="Georgia" w:hAnsi="Georgia" w:cs="Georgia"/>
          <w:color w:val="153056"/>
        </w:rPr>
      </w:pPr>
    </w:p>
    <w:p w14:paraId="173460C2" w14:textId="77777777" w:rsidR="00695808" w:rsidRPr="00DE4F22" w:rsidRDefault="00695808">
      <w:pPr>
        <w:tabs>
          <w:tab w:val="left" w:pos="1540"/>
        </w:tabs>
        <w:rPr>
          <w:rFonts w:ascii="Georgia" w:eastAsia="Georgia" w:hAnsi="Georgia" w:cs="Georgia"/>
          <w:color w:val="153056"/>
        </w:rPr>
      </w:pPr>
    </w:p>
    <w:p w14:paraId="4F70A427" w14:textId="77777777" w:rsidR="00695808" w:rsidRPr="00DE4F22" w:rsidRDefault="00695808">
      <w:pPr>
        <w:tabs>
          <w:tab w:val="left" w:pos="1540"/>
        </w:tabs>
        <w:rPr>
          <w:rFonts w:ascii="Georgia" w:eastAsia="Georgia" w:hAnsi="Georgia" w:cs="Georgia"/>
          <w:color w:val="153056"/>
        </w:rPr>
      </w:pPr>
    </w:p>
    <w:p w14:paraId="2F56566B" w14:textId="77777777" w:rsidR="00695808" w:rsidRPr="00DE4F22" w:rsidRDefault="00695808">
      <w:pPr>
        <w:tabs>
          <w:tab w:val="left" w:pos="1540"/>
        </w:tabs>
        <w:rPr>
          <w:rFonts w:ascii="Georgia" w:eastAsia="Georgia" w:hAnsi="Georgia" w:cs="Georgia"/>
          <w:color w:val="153056"/>
        </w:rPr>
      </w:pPr>
    </w:p>
    <w:p w14:paraId="1E3E1014" w14:textId="77777777" w:rsidR="00695808" w:rsidRPr="00DE4F22" w:rsidRDefault="00695808">
      <w:pPr>
        <w:tabs>
          <w:tab w:val="left" w:pos="1540"/>
        </w:tabs>
        <w:rPr>
          <w:rFonts w:ascii="Georgia" w:eastAsia="Georgia" w:hAnsi="Georgia" w:cs="Georgia"/>
          <w:color w:val="153056"/>
        </w:rPr>
      </w:pPr>
    </w:p>
    <w:p w14:paraId="4DFB9480" w14:textId="77777777" w:rsidR="00695808" w:rsidRPr="00DE4F22" w:rsidRDefault="00695808">
      <w:pPr>
        <w:tabs>
          <w:tab w:val="left" w:pos="1540"/>
        </w:tabs>
        <w:rPr>
          <w:rFonts w:ascii="Georgia" w:eastAsia="Georgia" w:hAnsi="Georgia" w:cs="Georgia"/>
          <w:color w:val="153056"/>
        </w:rPr>
      </w:pPr>
    </w:p>
    <w:p w14:paraId="477CC60B" w14:textId="77777777" w:rsidR="00695808" w:rsidRPr="00DE4F22" w:rsidRDefault="00695808">
      <w:pPr>
        <w:tabs>
          <w:tab w:val="left" w:pos="1540"/>
        </w:tabs>
        <w:rPr>
          <w:rFonts w:ascii="Georgia" w:eastAsia="Georgia" w:hAnsi="Georgia" w:cs="Georgia"/>
          <w:color w:val="153056"/>
        </w:rPr>
      </w:pPr>
    </w:p>
    <w:p w14:paraId="18C68225" w14:textId="77777777" w:rsidR="00695808" w:rsidRPr="00DE4F22" w:rsidRDefault="00695808">
      <w:pPr>
        <w:tabs>
          <w:tab w:val="left" w:pos="1540"/>
        </w:tabs>
        <w:rPr>
          <w:rFonts w:ascii="Georgia" w:eastAsia="Georgia" w:hAnsi="Georgia" w:cs="Georgia"/>
          <w:color w:val="153056"/>
        </w:rPr>
      </w:pPr>
    </w:p>
    <w:p w14:paraId="127B795F" w14:textId="77777777" w:rsidR="00695808" w:rsidRPr="00DE4F22" w:rsidRDefault="00695808">
      <w:pPr>
        <w:tabs>
          <w:tab w:val="left" w:pos="1540"/>
        </w:tabs>
        <w:rPr>
          <w:rFonts w:ascii="Georgia" w:eastAsia="Georgia" w:hAnsi="Georgia" w:cs="Georgia"/>
          <w:color w:val="153056"/>
        </w:rPr>
      </w:pPr>
    </w:p>
    <w:p w14:paraId="25EBE045" w14:textId="77777777" w:rsidR="00695808" w:rsidRPr="00DE4F22" w:rsidRDefault="009C2EB0">
      <w:pPr>
        <w:tabs>
          <w:tab w:val="left" w:pos="1540"/>
        </w:tabs>
        <w:rPr>
          <w:rFonts w:ascii="Georgia" w:eastAsia="Georgia" w:hAnsi="Georgia" w:cs="Georgia"/>
          <w:color w:val="153056"/>
        </w:rPr>
      </w:pPr>
      <w:r w:rsidRPr="00DE4F22">
        <w:rPr>
          <w:rFonts w:ascii="Georgia" w:eastAsia="Georgia" w:hAnsi="Georgia" w:cs="Georgia"/>
          <w:color w:val="153056"/>
        </w:rPr>
        <w:tab/>
      </w:r>
    </w:p>
    <w:p w14:paraId="650777BA" w14:textId="77777777" w:rsidR="00695808" w:rsidRPr="00DE4F22" w:rsidRDefault="00695808">
      <w:pPr>
        <w:tabs>
          <w:tab w:val="left" w:pos="1540"/>
        </w:tabs>
        <w:rPr>
          <w:rFonts w:ascii="Georgia" w:eastAsia="Georgia" w:hAnsi="Georgia" w:cs="Georgia"/>
          <w:color w:val="153056"/>
        </w:rPr>
      </w:pPr>
    </w:p>
    <w:p w14:paraId="6A891168" w14:textId="77777777" w:rsidR="00695808" w:rsidRPr="00DE4F22" w:rsidRDefault="00695808">
      <w:pPr>
        <w:tabs>
          <w:tab w:val="left" w:pos="1540"/>
        </w:tabs>
        <w:rPr>
          <w:rFonts w:ascii="Georgia" w:eastAsia="Georgia" w:hAnsi="Georgia" w:cs="Georgia"/>
          <w:color w:val="153056"/>
        </w:rPr>
      </w:pPr>
    </w:p>
    <w:p w14:paraId="276D9FC5" w14:textId="77777777" w:rsidR="00695808" w:rsidRPr="00DE4F22" w:rsidRDefault="00695808">
      <w:pPr>
        <w:tabs>
          <w:tab w:val="left" w:pos="1540"/>
        </w:tabs>
        <w:rPr>
          <w:rFonts w:ascii="Georgia" w:eastAsia="Georgia" w:hAnsi="Georgia" w:cs="Georgia"/>
          <w:color w:val="153056"/>
        </w:rPr>
      </w:pPr>
    </w:p>
    <w:p w14:paraId="33970C01" w14:textId="77777777" w:rsidR="00695808" w:rsidRPr="00DE4F22" w:rsidRDefault="00695808">
      <w:pPr>
        <w:tabs>
          <w:tab w:val="left" w:pos="1540"/>
        </w:tabs>
        <w:rPr>
          <w:rFonts w:ascii="Georgia" w:eastAsia="Georgia" w:hAnsi="Georgia" w:cs="Georgia"/>
          <w:color w:val="153056"/>
        </w:rPr>
      </w:pPr>
    </w:p>
    <w:p w14:paraId="44B4481F" w14:textId="77777777" w:rsidR="00E94C29" w:rsidRPr="00DE4F22" w:rsidRDefault="00E94C29">
      <w:pPr>
        <w:tabs>
          <w:tab w:val="left" w:pos="1540"/>
        </w:tabs>
        <w:rPr>
          <w:rFonts w:ascii="Georgia" w:eastAsia="Georgia" w:hAnsi="Georgia" w:cs="Georgia"/>
          <w:color w:val="153056"/>
        </w:rPr>
      </w:pPr>
    </w:p>
    <w:p w14:paraId="533FAB39" w14:textId="77777777" w:rsidR="00E94C29" w:rsidRPr="00DE4F22" w:rsidRDefault="00E94C29">
      <w:pPr>
        <w:tabs>
          <w:tab w:val="left" w:pos="1540"/>
        </w:tabs>
        <w:rPr>
          <w:rFonts w:ascii="Georgia" w:eastAsia="Georgia" w:hAnsi="Georgia" w:cs="Georgia"/>
          <w:color w:val="153056"/>
        </w:rPr>
      </w:pPr>
    </w:p>
    <w:p w14:paraId="4C987B01" w14:textId="77777777" w:rsidR="00E94C29" w:rsidRPr="00DE4F22" w:rsidRDefault="00E94C29">
      <w:pPr>
        <w:tabs>
          <w:tab w:val="left" w:pos="1540"/>
        </w:tabs>
        <w:rPr>
          <w:rFonts w:ascii="Georgia" w:eastAsia="Georgia" w:hAnsi="Georgia" w:cs="Georgia"/>
          <w:color w:val="153056"/>
        </w:rPr>
      </w:pPr>
    </w:p>
    <w:p w14:paraId="10B3B247" w14:textId="77777777" w:rsidR="00E94C29" w:rsidRPr="00DE4F22" w:rsidRDefault="00E94C29">
      <w:pPr>
        <w:tabs>
          <w:tab w:val="left" w:pos="1540"/>
        </w:tabs>
        <w:rPr>
          <w:rFonts w:ascii="Georgia" w:eastAsia="Georgia" w:hAnsi="Georgia" w:cs="Georgia"/>
          <w:color w:val="153056"/>
        </w:rPr>
      </w:pPr>
    </w:p>
    <w:p w14:paraId="58CB0A42" w14:textId="77777777" w:rsidR="00E94C29" w:rsidRPr="00DE4F22" w:rsidRDefault="00E94C29">
      <w:pPr>
        <w:tabs>
          <w:tab w:val="left" w:pos="1540"/>
        </w:tabs>
        <w:rPr>
          <w:rFonts w:ascii="Georgia" w:eastAsia="Georgia" w:hAnsi="Georgia" w:cs="Georgia"/>
          <w:color w:val="153056"/>
        </w:rPr>
      </w:pPr>
    </w:p>
    <w:p w14:paraId="00557639" w14:textId="77777777" w:rsidR="00E94C29" w:rsidRPr="00DE4F22" w:rsidRDefault="00E94C29">
      <w:pPr>
        <w:tabs>
          <w:tab w:val="left" w:pos="1540"/>
        </w:tabs>
        <w:rPr>
          <w:rFonts w:ascii="Georgia" w:eastAsia="Georgia" w:hAnsi="Georgia" w:cs="Georgia"/>
          <w:color w:val="153056"/>
        </w:rPr>
      </w:pPr>
    </w:p>
    <w:p w14:paraId="69A51FED" w14:textId="77777777" w:rsidR="00E94C29" w:rsidRPr="00DE4F22" w:rsidRDefault="00E94C29">
      <w:pPr>
        <w:tabs>
          <w:tab w:val="left" w:pos="1540"/>
        </w:tabs>
        <w:rPr>
          <w:rFonts w:ascii="Georgia" w:eastAsia="Georgia" w:hAnsi="Georgia" w:cs="Georgia"/>
          <w:color w:val="153056"/>
        </w:rPr>
      </w:pPr>
    </w:p>
    <w:p w14:paraId="7EC6C247" w14:textId="77777777" w:rsidR="00E94C29" w:rsidRPr="00DE4F22" w:rsidRDefault="00E94C29">
      <w:pPr>
        <w:tabs>
          <w:tab w:val="left" w:pos="1540"/>
        </w:tabs>
        <w:rPr>
          <w:rFonts w:ascii="Georgia" w:eastAsia="Georgia" w:hAnsi="Georgia" w:cs="Georgia"/>
          <w:color w:val="153056"/>
        </w:rPr>
      </w:pPr>
    </w:p>
    <w:p w14:paraId="2A181DB2" w14:textId="77777777" w:rsidR="00E94C29" w:rsidRPr="00DE4F22" w:rsidRDefault="00E94C29">
      <w:pPr>
        <w:tabs>
          <w:tab w:val="left" w:pos="1540"/>
        </w:tabs>
        <w:rPr>
          <w:rFonts w:ascii="Georgia" w:eastAsia="Georgia" w:hAnsi="Georgia" w:cs="Georgia"/>
          <w:color w:val="153056"/>
        </w:rPr>
      </w:pPr>
    </w:p>
    <w:p w14:paraId="7A3811E6" w14:textId="77777777" w:rsidR="00E94C29" w:rsidRPr="00DE4F22" w:rsidRDefault="00E94C29">
      <w:pPr>
        <w:tabs>
          <w:tab w:val="left" w:pos="1540"/>
        </w:tabs>
        <w:rPr>
          <w:rFonts w:ascii="Georgia" w:eastAsia="Georgia" w:hAnsi="Georgia" w:cs="Georgia"/>
          <w:color w:val="153056"/>
        </w:rPr>
      </w:pPr>
    </w:p>
    <w:p w14:paraId="54139565" w14:textId="77777777" w:rsidR="00E94C29" w:rsidRPr="00DE4F22" w:rsidRDefault="00E94C29">
      <w:pPr>
        <w:tabs>
          <w:tab w:val="left" w:pos="1540"/>
        </w:tabs>
        <w:rPr>
          <w:rFonts w:ascii="Georgia" w:eastAsia="Georgia" w:hAnsi="Georgia" w:cs="Georgia"/>
          <w:color w:val="153056"/>
        </w:rPr>
      </w:pPr>
    </w:p>
    <w:p w14:paraId="0E5732D0" w14:textId="77777777" w:rsidR="008454D9" w:rsidRPr="00DE4F22" w:rsidRDefault="008454D9">
      <w:pPr>
        <w:tabs>
          <w:tab w:val="left" w:pos="1540"/>
        </w:tabs>
        <w:rPr>
          <w:rFonts w:ascii="Georgia" w:eastAsia="Georgia" w:hAnsi="Georgia" w:cs="Georgia"/>
          <w:color w:val="153056"/>
        </w:rPr>
      </w:pPr>
    </w:p>
    <w:p w14:paraId="4245175A" w14:textId="77777777" w:rsidR="008454D9" w:rsidRPr="00DE4F22" w:rsidRDefault="008454D9">
      <w:pPr>
        <w:tabs>
          <w:tab w:val="left" w:pos="1540"/>
        </w:tabs>
        <w:rPr>
          <w:rFonts w:ascii="Georgia" w:eastAsia="Georgia" w:hAnsi="Georgia" w:cs="Georgia"/>
          <w:color w:val="153056"/>
        </w:rPr>
      </w:pPr>
    </w:p>
    <w:p w14:paraId="6F9D9D9A" w14:textId="77777777" w:rsidR="008454D9" w:rsidRPr="00DE4F22" w:rsidRDefault="008454D9">
      <w:pPr>
        <w:tabs>
          <w:tab w:val="left" w:pos="1540"/>
        </w:tabs>
        <w:rPr>
          <w:rFonts w:ascii="Georgia" w:eastAsia="Georgia" w:hAnsi="Georgia" w:cs="Georgia"/>
          <w:color w:val="153056"/>
        </w:rPr>
      </w:pPr>
    </w:p>
    <w:p w14:paraId="0CB408D8" w14:textId="77777777" w:rsidR="008454D9" w:rsidRPr="00DE4F22" w:rsidRDefault="008454D9" w:rsidP="007077A7">
      <w:pPr>
        <w:tabs>
          <w:tab w:val="left" w:pos="1540"/>
        </w:tabs>
        <w:jc w:val="right"/>
        <w:rPr>
          <w:rFonts w:ascii="Georgia" w:eastAsia="Georgia" w:hAnsi="Georgia" w:cs="Georgia"/>
          <w:color w:val="153056"/>
        </w:rPr>
      </w:pPr>
    </w:p>
    <w:p w14:paraId="71C40F85" w14:textId="77777777" w:rsidR="008454D9" w:rsidRPr="00DE4F22" w:rsidRDefault="008454D9">
      <w:pPr>
        <w:tabs>
          <w:tab w:val="left" w:pos="1540"/>
        </w:tabs>
        <w:rPr>
          <w:rFonts w:ascii="Georgia" w:eastAsia="Georgia" w:hAnsi="Georgia" w:cs="Georgia"/>
          <w:color w:val="153056"/>
        </w:rPr>
      </w:pPr>
    </w:p>
    <w:p w14:paraId="09946558" w14:textId="77777777" w:rsidR="00E94C29" w:rsidRPr="00DE4F22" w:rsidRDefault="00E94C29">
      <w:pPr>
        <w:tabs>
          <w:tab w:val="left" w:pos="1540"/>
        </w:tabs>
        <w:rPr>
          <w:rFonts w:ascii="Georgia" w:eastAsia="Georgia" w:hAnsi="Georgia" w:cs="Georgia"/>
          <w:color w:val="153056"/>
        </w:rPr>
      </w:pPr>
    </w:p>
    <w:p w14:paraId="1D00968C" w14:textId="77777777" w:rsidR="008454D9" w:rsidRPr="00DE4F22" w:rsidRDefault="008454D9">
      <w:pPr>
        <w:tabs>
          <w:tab w:val="left" w:pos="1540"/>
        </w:tabs>
        <w:rPr>
          <w:rFonts w:ascii="Georgia" w:eastAsia="Georgia" w:hAnsi="Georgia" w:cs="Georgia"/>
          <w:color w:val="153056"/>
        </w:rPr>
      </w:pPr>
    </w:p>
    <w:p w14:paraId="6977F781" w14:textId="77777777" w:rsidR="007077A7" w:rsidRPr="00DE4F22" w:rsidRDefault="007077A7" w:rsidP="007077A7">
      <w:pPr>
        <w:autoSpaceDE w:val="0"/>
        <w:autoSpaceDN w:val="0"/>
        <w:adjustRightInd w:val="0"/>
        <w:jc w:val="both"/>
        <w:rPr>
          <w:rFonts w:ascii="Georgia" w:hAnsi="Georgia"/>
          <w:b/>
          <w:bCs/>
          <w:lang w:eastAsia="en-US"/>
        </w:rPr>
      </w:pPr>
    </w:p>
    <w:sdt>
      <w:sdtPr>
        <w:rPr>
          <w:rFonts w:ascii="Times New Roman" w:eastAsia="Times New Roman" w:hAnsi="Times New Roman" w:cs="Times New Roman"/>
          <w:color w:val="auto"/>
          <w:sz w:val="24"/>
          <w:szCs w:val="24"/>
          <w:lang w:val="sr-Latn-ME" w:eastAsia="en-GB"/>
        </w:rPr>
        <w:id w:val="-475303032"/>
        <w:docPartObj>
          <w:docPartGallery w:val="Table of Contents"/>
          <w:docPartUnique/>
        </w:docPartObj>
      </w:sdtPr>
      <w:sdtEndPr>
        <w:rPr>
          <w:b/>
          <w:bCs/>
        </w:rPr>
      </w:sdtEndPr>
      <w:sdtContent>
        <w:p w14:paraId="436FCF3B" w14:textId="3940B2B1" w:rsidR="009E74B1" w:rsidRPr="00DE4F22" w:rsidRDefault="009E74B1" w:rsidP="009E74B1">
          <w:pPr>
            <w:pStyle w:val="TOCHeading"/>
            <w:jc w:val="center"/>
            <w:rPr>
              <w:rFonts w:ascii="Times New Roman" w:hAnsi="Times New Roman" w:cs="Times New Roman"/>
              <w:b/>
              <w:bCs/>
              <w:color w:val="auto"/>
              <w:sz w:val="24"/>
              <w:szCs w:val="24"/>
              <w:lang w:val="sr-Latn-ME"/>
            </w:rPr>
          </w:pPr>
          <w:r w:rsidRPr="00DE4F22">
            <w:rPr>
              <w:rFonts w:ascii="Times New Roman" w:hAnsi="Times New Roman" w:cs="Times New Roman"/>
              <w:b/>
              <w:bCs/>
              <w:color w:val="auto"/>
              <w:sz w:val="24"/>
              <w:szCs w:val="24"/>
              <w:lang w:val="sr-Latn-ME"/>
            </w:rPr>
            <w:t>S A D R Ž A J</w:t>
          </w:r>
        </w:p>
        <w:p w14:paraId="0214147C" w14:textId="77777777" w:rsidR="009E74B1" w:rsidRPr="00DE4F22" w:rsidRDefault="009E74B1" w:rsidP="009E74B1">
          <w:pPr>
            <w:rPr>
              <w:lang w:eastAsia="en-US"/>
            </w:rPr>
          </w:pPr>
        </w:p>
        <w:p w14:paraId="28E625F7" w14:textId="14F7ADF6" w:rsidR="003D21EB" w:rsidRDefault="009E74B1">
          <w:pPr>
            <w:pStyle w:val="TOC2"/>
            <w:rPr>
              <w:rFonts w:asciiTheme="minorHAnsi" w:eastAsiaTheme="minorEastAsia" w:hAnsiTheme="minorHAnsi" w:cstheme="minorBidi"/>
              <w:b w:val="0"/>
              <w:smallCaps w:val="0"/>
              <w:noProof/>
              <w:color w:val="auto"/>
              <w:lang w:val="en-US" w:eastAsia="en-US"/>
            </w:rPr>
          </w:pPr>
          <w:r w:rsidRPr="00DE4F22">
            <w:rPr>
              <w:rFonts w:ascii="Times New Roman" w:hAnsi="Times New Roman" w:cs="Times New Roman"/>
              <w:color w:val="auto"/>
              <w:sz w:val="24"/>
              <w:szCs w:val="24"/>
              <w:lang w:val="sr-Latn-ME"/>
            </w:rPr>
            <w:fldChar w:fldCharType="begin"/>
          </w:r>
          <w:r w:rsidRPr="00DE4F22">
            <w:rPr>
              <w:rFonts w:ascii="Times New Roman" w:hAnsi="Times New Roman" w:cs="Times New Roman"/>
              <w:color w:val="auto"/>
              <w:sz w:val="24"/>
              <w:szCs w:val="24"/>
              <w:lang w:val="sr-Latn-ME"/>
            </w:rPr>
            <w:instrText xml:space="preserve"> TOC \o "1-3" \h \z \u </w:instrText>
          </w:r>
          <w:r w:rsidRPr="00DE4F22">
            <w:rPr>
              <w:rFonts w:ascii="Times New Roman" w:hAnsi="Times New Roman" w:cs="Times New Roman"/>
              <w:color w:val="auto"/>
              <w:sz w:val="24"/>
              <w:szCs w:val="24"/>
              <w:lang w:val="sr-Latn-ME"/>
            </w:rPr>
            <w:fldChar w:fldCharType="separate"/>
          </w:r>
          <w:hyperlink w:anchor="_Toc195614771" w:history="1">
            <w:r w:rsidR="003D21EB" w:rsidRPr="000425F3">
              <w:rPr>
                <w:rStyle w:val="Hyperlink"/>
                <w:rFonts w:eastAsia="Georgia"/>
                <w:noProof/>
              </w:rPr>
              <w:t>I UVOD</w:t>
            </w:r>
            <w:r w:rsidR="003D21EB">
              <w:rPr>
                <w:noProof/>
                <w:webHidden/>
              </w:rPr>
              <w:tab/>
            </w:r>
            <w:r w:rsidR="003D21EB">
              <w:rPr>
                <w:noProof/>
                <w:webHidden/>
              </w:rPr>
              <w:fldChar w:fldCharType="begin"/>
            </w:r>
            <w:r w:rsidR="003D21EB">
              <w:rPr>
                <w:noProof/>
                <w:webHidden/>
              </w:rPr>
              <w:instrText xml:space="preserve"> PAGEREF _Toc195614771 \h </w:instrText>
            </w:r>
            <w:r w:rsidR="003D21EB">
              <w:rPr>
                <w:noProof/>
                <w:webHidden/>
              </w:rPr>
            </w:r>
            <w:r w:rsidR="003D21EB">
              <w:rPr>
                <w:noProof/>
                <w:webHidden/>
              </w:rPr>
              <w:fldChar w:fldCharType="separate"/>
            </w:r>
            <w:r w:rsidR="003D21EB">
              <w:rPr>
                <w:noProof/>
                <w:webHidden/>
              </w:rPr>
              <w:t>3</w:t>
            </w:r>
            <w:r w:rsidR="003D21EB">
              <w:rPr>
                <w:noProof/>
                <w:webHidden/>
              </w:rPr>
              <w:fldChar w:fldCharType="end"/>
            </w:r>
          </w:hyperlink>
        </w:p>
        <w:p w14:paraId="204B3672" w14:textId="6D6A557D" w:rsidR="003D21EB" w:rsidRDefault="003D21EB">
          <w:pPr>
            <w:pStyle w:val="TOC2"/>
            <w:rPr>
              <w:rFonts w:asciiTheme="minorHAnsi" w:eastAsiaTheme="minorEastAsia" w:hAnsiTheme="minorHAnsi" w:cstheme="minorBidi"/>
              <w:b w:val="0"/>
              <w:smallCaps w:val="0"/>
              <w:noProof/>
              <w:color w:val="auto"/>
              <w:lang w:val="en-US" w:eastAsia="en-US"/>
            </w:rPr>
          </w:pPr>
          <w:hyperlink w:anchor="_Toc195614772" w:history="1">
            <w:r w:rsidRPr="000425F3">
              <w:rPr>
                <w:rStyle w:val="Hyperlink"/>
                <w:rFonts w:eastAsia="Georgia"/>
                <w:noProof/>
              </w:rPr>
              <w:t>II PLAN PRILIVA</w:t>
            </w:r>
            <w:r>
              <w:rPr>
                <w:noProof/>
                <w:webHidden/>
              </w:rPr>
              <w:tab/>
            </w:r>
            <w:r>
              <w:rPr>
                <w:noProof/>
                <w:webHidden/>
              </w:rPr>
              <w:fldChar w:fldCharType="begin"/>
            </w:r>
            <w:r>
              <w:rPr>
                <w:noProof/>
                <w:webHidden/>
              </w:rPr>
              <w:instrText xml:space="preserve"> PAGEREF _Toc195614772 \h </w:instrText>
            </w:r>
            <w:r>
              <w:rPr>
                <w:noProof/>
                <w:webHidden/>
              </w:rPr>
            </w:r>
            <w:r>
              <w:rPr>
                <w:noProof/>
                <w:webHidden/>
              </w:rPr>
              <w:fldChar w:fldCharType="separate"/>
            </w:r>
            <w:r>
              <w:rPr>
                <w:noProof/>
                <w:webHidden/>
              </w:rPr>
              <w:t>4</w:t>
            </w:r>
            <w:r>
              <w:rPr>
                <w:noProof/>
                <w:webHidden/>
              </w:rPr>
              <w:fldChar w:fldCharType="end"/>
            </w:r>
          </w:hyperlink>
        </w:p>
        <w:p w14:paraId="0074725C" w14:textId="7B94B3DA" w:rsidR="003D21EB" w:rsidRDefault="003D21EB">
          <w:pPr>
            <w:pStyle w:val="TOC2"/>
            <w:rPr>
              <w:rFonts w:asciiTheme="minorHAnsi" w:eastAsiaTheme="minorEastAsia" w:hAnsiTheme="minorHAnsi" w:cstheme="minorBidi"/>
              <w:b w:val="0"/>
              <w:smallCaps w:val="0"/>
              <w:noProof/>
              <w:color w:val="auto"/>
              <w:lang w:val="en-US" w:eastAsia="en-US"/>
            </w:rPr>
          </w:pPr>
          <w:hyperlink w:anchor="_Toc195614773" w:history="1">
            <w:r w:rsidRPr="000425F3">
              <w:rPr>
                <w:rStyle w:val="Hyperlink"/>
                <w:rFonts w:eastAsia="Georgia"/>
                <w:noProof/>
              </w:rPr>
              <w:t>III PLAN ODLIVA</w:t>
            </w:r>
            <w:r>
              <w:rPr>
                <w:noProof/>
                <w:webHidden/>
              </w:rPr>
              <w:tab/>
            </w:r>
            <w:r>
              <w:rPr>
                <w:noProof/>
                <w:webHidden/>
              </w:rPr>
              <w:fldChar w:fldCharType="begin"/>
            </w:r>
            <w:r>
              <w:rPr>
                <w:noProof/>
                <w:webHidden/>
              </w:rPr>
              <w:instrText xml:space="preserve"> PAGEREF _Toc195614773 \h </w:instrText>
            </w:r>
            <w:r>
              <w:rPr>
                <w:noProof/>
                <w:webHidden/>
              </w:rPr>
            </w:r>
            <w:r>
              <w:rPr>
                <w:noProof/>
                <w:webHidden/>
              </w:rPr>
              <w:fldChar w:fldCharType="separate"/>
            </w:r>
            <w:r>
              <w:rPr>
                <w:noProof/>
                <w:webHidden/>
              </w:rPr>
              <w:t>6</w:t>
            </w:r>
            <w:r>
              <w:rPr>
                <w:noProof/>
                <w:webHidden/>
              </w:rPr>
              <w:fldChar w:fldCharType="end"/>
            </w:r>
          </w:hyperlink>
        </w:p>
        <w:p w14:paraId="0E53D6B7" w14:textId="208C52E7" w:rsidR="003D21EB" w:rsidRDefault="003D21EB">
          <w:pPr>
            <w:pStyle w:val="TOC2"/>
            <w:rPr>
              <w:rFonts w:asciiTheme="minorHAnsi" w:eastAsiaTheme="minorEastAsia" w:hAnsiTheme="minorHAnsi" w:cstheme="minorBidi"/>
              <w:b w:val="0"/>
              <w:smallCaps w:val="0"/>
              <w:noProof/>
              <w:color w:val="auto"/>
              <w:lang w:val="en-US" w:eastAsia="en-US"/>
            </w:rPr>
          </w:pPr>
          <w:hyperlink w:anchor="_Toc195614774" w:history="1">
            <w:r w:rsidRPr="000425F3">
              <w:rPr>
                <w:rStyle w:val="Hyperlink"/>
                <w:rFonts w:ascii="Times New Roman" w:eastAsia="Georgia" w:hAnsi="Times New Roman" w:cs="Times New Roman"/>
                <w:bCs/>
                <w:noProof/>
                <w:lang w:eastAsia="hr-HR"/>
              </w:rPr>
              <w:t>1.</w:t>
            </w:r>
            <w:r>
              <w:rPr>
                <w:rFonts w:asciiTheme="minorHAnsi" w:eastAsiaTheme="minorEastAsia" w:hAnsiTheme="minorHAnsi" w:cstheme="minorBidi"/>
                <w:b w:val="0"/>
                <w:smallCaps w:val="0"/>
                <w:noProof/>
                <w:color w:val="auto"/>
                <w:lang w:val="en-US" w:eastAsia="en-US"/>
              </w:rPr>
              <w:tab/>
            </w:r>
            <w:r w:rsidRPr="000425F3">
              <w:rPr>
                <w:rStyle w:val="Hyperlink"/>
                <w:rFonts w:ascii="Times New Roman" w:eastAsia="Georgia" w:hAnsi="Times New Roman" w:cs="Times New Roman"/>
                <w:bCs/>
                <w:noProof/>
                <w:lang w:eastAsia="hr-HR"/>
              </w:rPr>
              <w:t>INVESTICIONA ULAGANJA I TEKUĆE ODRŽAVANJE</w:t>
            </w:r>
            <w:r>
              <w:rPr>
                <w:noProof/>
                <w:webHidden/>
              </w:rPr>
              <w:tab/>
            </w:r>
            <w:r>
              <w:rPr>
                <w:noProof/>
                <w:webHidden/>
              </w:rPr>
              <w:fldChar w:fldCharType="begin"/>
            </w:r>
            <w:r>
              <w:rPr>
                <w:noProof/>
                <w:webHidden/>
              </w:rPr>
              <w:instrText xml:space="preserve"> PAGEREF _Toc195614774 \h </w:instrText>
            </w:r>
            <w:r>
              <w:rPr>
                <w:noProof/>
                <w:webHidden/>
              </w:rPr>
            </w:r>
            <w:r>
              <w:rPr>
                <w:noProof/>
                <w:webHidden/>
              </w:rPr>
              <w:fldChar w:fldCharType="separate"/>
            </w:r>
            <w:r>
              <w:rPr>
                <w:noProof/>
                <w:webHidden/>
              </w:rPr>
              <w:t>8</w:t>
            </w:r>
            <w:r>
              <w:rPr>
                <w:noProof/>
                <w:webHidden/>
              </w:rPr>
              <w:fldChar w:fldCharType="end"/>
            </w:r>
          </w:hyperlink>
        </w:p>
        <w:p w14:paraId="4160F32A" w14:textId="5872C78F" w:rsidR="003D21EB" w:rsidRDefault="003D21EB">
          <w:pPr>
            <w:pStyle w:val="TOC2"/>
            <w:rPr>
              <w:rFonts w:asciiTheme="minorHAnsi" w:eastAsiaTheme="minorEastAsia" w:hAnsiTheme="minorHAnsi" w:cstheme="minorBidi"/>
              <w:b w:val="0"/>
              <w:smallCaps w:val="0"/>
              <w:noProof/>
              <w:color w:val="auto"/>
              <w:lang w:val="en-US" w:eastAsia="en-US"/>
            </w:rPr>
          </w:pPr>
          <w:hyperlink w:anchor="_Toc195614775" w:history="1">
            <w:r w:rsidRPr="000425F3">
              <w:rPr>
                <w:rStyle w:val="Hyperlink"/>
                <w:rFonts w:ascii="Times New Roman" w:eastAsia="Georgia" w:hAnsi="Times New Roman" w:cs="Times New Roman"/>
                <w:bCs/>
                <w:noProof/>
                <w:lang w:eastAsia="hr-HR"/>
              </w:rPr>
              <w:t>2.</w:t>
            </w:r>
            <w:r>
              <w:rPr>
                <w:rFonts w:asciiTheme="minorHAnsi" w:eastAsiaTheme="minorEastAsia" w:hAnsiTheme="minorHAnsi" w:cstheme="minorBidi"/>
                <w:b w:val="0"/>
                <w:smallCaps w:val="0"/>
                <w:noProof/>
                <w:color w:val="auto"/>
                <w:lang w:val="en-US" w:eastAsia="en-US"/>
              </w:rPr>
              <w:tab/>
            </w:r>
            <w:r w:rsidRPr="000425F3">
              <w:rPr>
                <w:rStyle w:val="Hyperlink"/>
                <w:rFonts w:ascii="Times New Roman" w:eastAsia="Georgia" w:hAnsi="Times New Roman" w:cs="Times New Roman"/>
                <w:bCs/>
                <w:noProof/>
                <w:lang w:eastAsia="hr-HR"/>
              </w:rPr>
              <w:t>RASHODI TEKUĆEG POSLOVANJA</w:t>
            </w:r>
            <w:r>
              <w:rPr>
                <w:noProof/>
                <w:webHidden/>
              </w:rPr>
              <w:tab/>
            </w:r>
            <w:r>
              <w:rPr>
                <w:noProof/>
                <w:webHidden/>
              </w:rPr>
              <w:fldChar w:fldCharType="begin"/>
            </w:r>
            <w:r>
              <w:rPr>
                <w:noProof/>
                <w:webHidden/>
              </w:rPr>
              <w:instrText xml:space="preserve"> PAGEREF _Toc195614775 \h </w:instrText>
            </w:r>
            <w:r>
              <w:rPr>
                <w:noProof/>
                <w:webHidden/>
              </w:rPr>
            </w:r>
            <w:r>
              <w:rPr>
                <w:noProof/>
                <w:webHidden/>
              </w:rPr>
              <w:fldChar w:fldCharType="separate"/>
            </w:r>
            <w:r>
              <w:rPr>
                <w:noProof/>
                <w:webHidden/>
              </w:rPr>
              <w:t>9</w:t>
            </w:r>
            <w:r>
              <w:rPr>
                <w:noProof/>
                <w:webHidden/>
              </w:rPr>
              <w:fldChar w:fldCharType="end"/>
            </w:r>
          </w:hyperlink>
        </w:p>
        <w:p w14:paraId="3F5D5894" w14:textId="3494082B" w:rsidR="003D21EB" w:rsidRDefault="003D21EB">
          <w:pPr>
            <w:pStyle w:val="TOC2"/>
            <w:rPr>
              <w:rFonts w:asciiTheme="minorHAnsi" w:eastAsiaTheme="minorEastAsia" w:hAnsiTheme="minorHAnsi" w:cstheme="minorBidi"/>
              <w:b w:val="0"/>
              <w:smallCaps w:val="0"/>
              <w:noProof/>
              <w:color w:val="auto"/>
              <w:lang w:val="en-US" w:eastAsia="en-US"/>
            </w:rPr>
          </w:pPr>
          <w:hyperlink w:anchor="_Toc195614776" w:history="1">
            <w:r w:rsidRPr="000425F3">
              <w:rPr>
                <w:rStyle w:val="Hyperlink"/>
                <w:rFonts w:ascii="Times New Roman" w:eastAsia="Georgia" w:hAnsi="Times New Roman" w:cs="Times New Roman"/>
                <w:bCs/>
                <w:noProof/>
                <w:lang w:eastAsia="hr-HR"/>
              </w:rPr>
              <w:t>3.</w:t>
            </w:r>
            <w:r>
              <w:rPr>
                <w:rFonts w:asciiTheme="minorHAnsi" w:eastAsiaTheme="minorEastAsia" w:hAnsiTheme="minorHAnsi" w:cstheme="minorBidi"/>
                <w:b w:val="0"/>
                <w:smallCaps w:val="0"/>
                <w:noProof/>
                <w:color w:val="auto"/>
                <w:lang w:val="en-US" w:eastAsia="en-US"/>
              </w:rPr>
              <w:tab/>
            </w:r>
            <w:r w:rsidRPr="000425F3">
              <w:rPr>
                <w:rStyle w:val="Hyperlink"/>
                <w:rFonts w:ascii="Times New Roman" w:eastAsia="Georgia" w:hAnsi="Times New Roman" w:cs="Times New Roman"/>
                <w:bCs/>
                <w:noProof/>
                <w:lang w:eastAsia="hr-HR"/>
              </w:rPr>
              <w:t>OBAVEZE IZ PRETHODNE POSLOVNE GODINE</w:t>
            </w:r>
            <w:r>
              <w:rPr>
                <w:noProof/>
                <w:webHidden/>
              </w:rPr>
              <w:tab/>
            </w:r>
            <w:r>
              <w:rPr>
                <w:noProof/>
                <w:webHidden/>
              </w:rPr>
              <w:fldChar w:fldCharType="begin"/>
            </w:r>
            <w:r>
              <w:rPr>
                <w:noProof/>
                <w:webHidden/>
              </w:rPr>
              <w:instrText xml:space="preserve"> PAGEREF _Toc195614776 \h </w:instrText>
            </w:r>
            <w:r>
              <w:rPr>
                <w:noProof/>
                <w:webHidden/>
              </w:rPr>
            </w:r>
            <w:r>
              <w:rPr>
                <w:noProof/>
                <w:webHidden/>
              </w:rPr>
              <w:fldChar w:fldCharType="separate"/>
            </w:r>
            <w:r>
              <w:rPr>
                <w:noProof/>
                <w:webHidden/>
              </w:rPr>
              <w:t>13</w:t>
            </w:r>
            <w:r>
              <w:rPr>
                <w:noProof/>
                <w:webHidden/>
              </w:rPr>
              <w:fldChar w:fldCharType="end"/>
            </w:r>
          </w:hyperlink>
        </w:p>
        <w:p w14:paraId="7B1BFE7A" w14:textId="57CCAE64" w:rsidR="003D21EB" w:rsidRDefault="003D21EB">
          <w:pPr>
            <w:pStyle w:val="TOC2"/>
            <w:rPr>
              <w:rFonts w:asciiTheme="minorHAnsi" w:eastAsiaTheme="minorEastAsia" w:hAnsiTheme="minorHAnsi" w:cstheme="minorBidi"/>
              <w:b w:val="0"/>
              <w:smallCaps w:val="0"/>
              <w:noProof/>
              <w:color w:val="auto"/>
              <w:lang w:val="en-US" w:eastAsia="en-US"/>
            </w:rPr>
          </w:pPr>
          <w:hyperlink w:anchor="_Toc195614777" w:history="1">
            <w:r w:rsidRPr="000425F3">
              <w:rPr>
                <w:rStyle w:val="Hyperlink"/>
                <w:rFonts w:ascii="Times New Roman" w:eastAsia="Georgia" w:hAnsi="Times New Roman" w:cs="Times New Roman"/>
                <w:bCs/>
                <w:noProof/>
                <w:lang w:eastAsia="hr-HR"/>
              </w:rPr>
              <w:t>4.</w:t>
            </w:r>
            <w:r>
              <w:rPr>
                <w:rFonts w:asciiTheme="minorHAnsi" w:eastAsiaTheme="minorEastAsia" w:hAnsiTheme="minorHAnsi" w:cstheme="minorBidi"/>
                <w:b w:val="0"/>
                <w:smallCaps w:val="0"/>
                <w:noProof/>
                <w:color w:val="auto"/>
                <w:lang w:val="en-US" w:eastAsia="en-US"/>
              </w:rPr>
              <w:tab/>
            </w:r>
            <w:r w:rsidRPr="000425F3">
              <w:rPr>
                <w:rStyle w:val="Hyperlink"/>
                <w:rFonts w:ascii="Times New Roman" w:eastAsia="Georgia" w:hAnsi="Times New Roman" w:cs="Times New Roman"/>
                <w:bCs/>
                <w:noProof/>
                <w:lang w:eastAsia="hr-HR"/>
              </w:rPr>
              <w:t>OBAVEZA ZA POREZ NA DOBIT</w:t>
            </w:r>
            <w:r>
              <w:rPr>
                <w:noProof/>
                <w:webHidden/>
              </w:rPr>
              <w:tab/>
            </w:r>
            <w:r>
              <w:rPr>
                <w:noProof/>
                <w:webHidden/>
              </w:rPr>
              <w:fldChar w:fldCharType="begin"/>
            </w:r>
            <w:r>
              <w:rPr>
                <w:noProof/>
                <w:webHidden/>
              </w:rPr>
              <w:instrText xml:space="preserve"> PAGEREF _Toc195614777 \h </w:instrText>
            </w:r>
            <w:r>
              <w:rPr>
                <w:noProof/>
                <w:webHidden/>
              </w:rPr>
            </w:r>
            <w:r>
              <w:rPr>
                <w:noProof/>
                <w:webHidden/>
              </w:rPr>
              <w:fldChar w:fldCharType="separate"/>
            </w:r>
            <w:r>
              <w:rPr>
                <w:noProof/>
                <w:webHidden/>
              </w:rPr>
              <w:t>14</w:t>
            </w:r>
            <w:r>
              <w:rPr>
                <w:noProof/>
                <w:webHidden/>
              </w:rPr>
              <w:fldChar w:fldCharType="end"/>
            </w:r>
          </w:hyperlink>
        </w:p>
        <w:p w14:paraId="7BFE90EB" w14:textId="7809D228" w:rsidR="003D21EB" w:rsidRDefault="003D21EB">
          <w:pPr>
            <w:pStyle w:val="TOC2"/>
            <w:rPr>
              <w:rFonts w:asciiTheme="minorHAnsi" w:eastAsiaTheme="minorEastAsia" w:hAnsiTheme="minorHAnsi" w:cstheme="minorBidi"/>
              <w:b w:val="0"/>
              <w:smallCaps w:val="0"/>
              <w:noProof/>
              <w:color w:val="auto"/>
              <w:lang w:val="en-US" w:eastAsia="en-US"/>
            </w:rPr>
          </w:pPr>
          <w:hyperlink w:anchor="_Toc195614778" w:history="1">
            <w:r w:rsidRPr="000425F3">
              <w:rPr>
                <w:rStyle w:val="Hyperlink"/>
                <w:rFonts w:ascii="Times New Roman" w:eastAsia="Georgia" w:hAnsi="Times New Roman" w:cs="Times New Roman"/>
                <w:bCs/>
                <w:noProof/>
                <w:lang w:eastAsia="hr-HR"/>
              </w:rPr>
              <w:t>5.</w:t>
            </w:r>
            <w:r>
              <w:rPr>
                <w:rFonts w:asciiTheme="minorHAnsi" w:eastAsiaTheme="minorEastAsia" w:hAnsiTheme="minorHAnsi" w:cstheme="minorBidi"/>
                <w:b w:val="0"/>
                <w:smallCaps w:val="0"/>
                <w:noProof/>
                <w:color w:val="auto"/>
                <w:lang w:val="en-US" w:eastAsia="en-US"/>
              </w:rPr>
              <w:tab/>
            </w:r>
            <w:r w:rsidRPr="000425F3">
              <w:rPr>
                <w:rStyle w:val="Hyperlink"/>
                <w:rFonts w:ascii="Times New Roman" w:eastAsia="Georgia" w:hAnsi="Times New Roman" w:cs="Times New Roman"/>
                <w:bCs/>
                <w:noProof/>
                <w:lang w:eastAsia="hr-HR"/>
              </w:rPr>
              <w:t>STANJE NA KRAJU GODINE</w:t>
            </w:r>
            <w:r>
              <w:rPr>
                <w:noProof/>
                <w:webHidden/>
              </w:rPr>
              <w:tab/>
            </w:r>
            <w:r>
              <w:rPr>
                <w:noProof/>
                <w:webHidden/>
              </w:rPr>
              <w:fldChar w:fldCharType="begin"/>
            </w:r>
            <w:r>
              <w:rPr>
                <w:noProof/>
                <w:webHidden/>
              </w:rPr>
              <w:instrText xml:space="preserve"> PAGEREF _Toc195614778 \h </w:instrText>
            </w:r>
            <w:r>
              <w:rPr>
                <w:noProof/>
                <w:webHidden/>
              </w:rPr>
            </w:r>
            <w:r>
              <w:rPr>
                <w:noProof/>
                <w:webHidden/>
              </w:rPr>
              <w:fldChar w:fldCharType="separate"/>
            </w:r>
            <w:r>
              <w:rPr>
                <w:noProof/>
                <w:webHidden/>
              </w:rPr>
              <w:t>14</w:t>
            </w:r>
            <w:r>
              <w:rPr>
                <w:noProof/>
                <w:webHidden/>
              </w:rPr>
              <w:fldChar w:fldCharType="end"/>
            </w:r>
          </w:hyperlink>
        </w:p>
        <w:p w14:paraId="700A7849" w14:textId="6DA0675A" w:rsidR="003D21EB" w:rsidRDefault="003D21EB">
          <w:pPr>
            <w:pStyle w:val="TOC2"/>
            <w:rPr>
              <w:rFonts w:asciiTheme="minorHAnsi" w:eastAsiaTheme="minorEastAsia" w:hAnsiTheme="minorHAnsi" w:cstheme="minorBidi"/>
              <w:b w:val="0"/>
              <w:smallCaps w:val="0"/>
              <w:noProof/>
              <w:color w:val="auto"/>
              <w:lang w:val="en-US" w:eastAsia="en-US"/>
            </w:rPr>
          </w:pPr>
          <w:hyperlink w:anchor="_Toc195614779" w:history="1">
            <w:r w:rsidRPr="000425F3">
              <w:rPr>
                <w:rStyle w:val="Hyperlink"/>
                <w:rFonts w:eastAsia="Georgia"/>
                <w:noProof/>
              </w:rPr>
              <w:t>IV REALIZACIJA FINANSIJSKOG PLANA</w:t>
            </w:r>
            <w:r>
              <w:rPr>
                <w:noProof/>
                <w:webHidden/>
              </w:rPr>
              <w:tab/>
            </w:r>
            <w:r>
              <w:rPr>
                <w:noProof/>
                <w:webHidden/>
              </w:rPr>
              <w:fldChar w:fldCharType="begin"/>
            </w:r>
            <w:r>
              <w:rPr>
                <w:noProof/>
                <w:webHidden/>
              </w:rPr>
              <w:instrText xml:space="preserve"> PAGEREF _Toc195614779 \h </w:instrText>
            </w:r>
            <w:r>
              <w:rPr>
                <w:noProof/>
                <w:webHidden/>
              </w:rPr>
            </w:r>
            <w:r>
              <w:rPr>
                <w:noProof/>
                <w:webHidden/>
              </w:rPr>
              <w:fldChar w:fldCharType="separate"/>
            </w:r>
            <w:r>
              <w:rPr>
                <w:noProof/>
                <w:webHidden/>
              </w:rPr>
              <w:t>14</w:t>
            </w:r>
            <w:r>
              <w:rPr>
                <w:noProof/>
                <w:webHidden/>
              </w:rPr>
              <w:fldChar w:fldCharType="end"/>
            </w:r>
          </w:hyperlink>
        </w:p>
        <w:p w14:paraId="336DE4F3" w14:textId="7FC0F78F" w:rsidR="009E74B1" w:rsidRPr="00DE4F22" w:rsidRDefault="009E74B1" w:rsidP="009E74B1">
          <w:r w:rsidRPr="00DE4F22">
            <w:rPr>
              <w:b/>
              <w:bCs/>
            </w:rPr>
            <w:fldChar w:fldCharType="end"/>
          </w:r>
        </w:p>
      </w:sdtContent>
    </w:sdt>
    <w:p w14:paraId="3A5EEC1A" w14:textId="77777777" w:rsidR="007077A7" w:rsidRPr="00DE4F22" w:rsidRDefault="007077A7" w:rsidP="007077A7">
      <w:pPr>
        <w:autoSpaceDE w:val="0"/>
        <w:autoSpaceDN w:val="0"/>
        <w:adjustRightInd w:val="0"/>
        <w:jc w:val="both"/>
        <w:rPr>
          <w:rFonts w:ascii="Georgia" w:hAnsi="Georgia"/>
          <w:b/>
          <w:bCs/>
          <w:lang w:eastAsia="en-US"/>
        </w:rPr>
      </w:pPr>
    </w:p>
    <w:p w14:paraId="05037211" w14:textId="77777777" w:rsidR="007077A7" w:rsidRPr="00DE4F22" w:rsidRDefault="007077A7" w:rsidP="007077A7">
      <w:pPr>
        <w:autoSpaceDE w:val="0"/>
        <w:autoSpaceDN w:val="0"/>
        <w:adjustRightInd w:val="0"/>
        <w:spacing w:after="160"/>
        <w:ind w:left="360"/>
        <w:jc w:val="both"/>
        <w:rPr>
          <w:rFonts w:ascii="Georgia" w:hAnsi="Georgia"/>
          <w:sz w:val="20"/>
          <w:lang w:eastAsia="en-US"/>
        </w:rPr>
      </w:pPr>
    </w:p>
    <w:p w14:paraId="703BBA6F" w14:textId="77777777" w:rsidR="008454D9" w:rsidRPr="00DE4F22" w:rsidRDefault="008454D9">
      <w:pPr>
        <w:tabs>
          <w:tab w:val="left" w:pos="1540"/>
        </w:tabs>
        <w:rPr>
          <w:rFonts w:ascii="Georgia" w:eastAsia="Georgia" w:hAnsi="Georgia" w:cs="Georgia"/>
          <w:color w:val="153056"/>
        </w:rPr>
      </w:pPr>
    </w:p>
    <w:p w14:paraId="3E6C205F" w14:textId="77777777" w:rsidR="008454D9" w:rsidRPr="00DE4F22" w:rsidRDefault="008454D9">
      <w:pPr>
        <w:tabs>
          <w:tab w:val="left" w:pos="1540"/>
        </w:tabs>
        <w:rPr>
          <w:rFonts w:ascii="Georgia" w:eastAsia="Georgia" w:hAnsi="Georgia" w:cs="Georgia"/>
          <w:color w:val="153056"/>
        </w:rPr>
      </w:pPr>
    </w:p>
    <w:p w14:paraId="5522B3A7" w14:textId="77777777" w:rsidR="008454D9" w:rsidRPr="00DE4F22" w:rsidRDefault="008454D9">
      <w:pPr>
        <w:tabs>
          <w:tab w:val="left" w:pos="1540"/>
        </w:tabs>
        <w:rPr>
          <w:rFonts w:ascii="Georgia" w:eastAsia="Georgia" w:hAnsi="Georgia" w:cs="Georgia"/>
          <w:color w:val="153056"/>
        </w:rPr>
      </w:pPr>
    </w:p>
    <w:p w14:paraId="2F52F106" w14:textId="77777777" w:rsidR="008454D9" w:rsidRPr="00DE4F22" w:rsidRDefault="008454D9">
      <w:pPr>
        <w:tabs>
          <w:tab w:val="left" w:pos="1540"/>
        </w:tabs>
        <w:rPr>
          <w:rFonts w:ascii="Georgia" w:eastAsia="Georgia" w:hAnsi="Georgia" w:cs="Georgia"/>
          <w:color w:val="153056"/>
        </w:rPr>
      </w:pPr>
    </w:p>
    <w:p w14:paraId="1BF5477A" w14:textId="77777777" w:rsidR="008454D9" w:rsidRPr="00DE4F22" w:rsidRDefault="008454D9">
      <w:pPr>
        <w:tabs>
          <w:tab w:val="left" w:pos="1540"/>
        </w:tabs>
        <w:rPr>
          <w:rFonts w:ascii="Georgia" w:eastAsia="Georgia" w:hAnsi="Georgia" w:cs="Georgia"/>
          <w:color w:val="153056"/>
        </w:rPr>
      </w:pPr>
    </w:p>
    <w:p w14:paraId="2BC3D40F" w14:textId="77777777" w:rsidR="008454D9" w:rsidRPr="00DE4F22" w:rsidRDefault="008454D9">
      <w:pPr>
        <w:tabs>
          <w:tab w:val="left" w:pos="1540"/>
        </w:tabs>
        <w:rPr>
          <w:rFonts w:ascii="Georgia" w:eastAsia="Georgia" w:hAnsi="Georgia" w:cs="Georgia"/>
          <w:color w:val="153056"/>
        </w:rPr>
      </w:pPr>
      <w:bookmarkStart w:id="0" w:name="_GoBack"/>
      <w:bookmarkEnd w:id="0"/>
    </w:p>
    <w:p w14:paraId="12AB1AE5" w14:textId="77777777" w:rsidR="008454D9" w:rsidRPr="00DE4F22" w:rsidRDefault="008454D9">
      <w:pPr>
        <w:tabs>
          <w:tab w:val="left" w:pos="1540"/>
        </w:tabs>
        <w:rPr>
          <w:rFonts w:ascii="Georgia" w:eastAsia="Georgia" w:hAnsi="Georgia" w:cs="Georgia"/>
          <w:color w:val="153056"/>
        </w:rPr>
      </w:pPr>
    </w:p>
    <w:p w14:paraId="493375B1" w14:textId="77777777" w:rsidR="008454D9" w:rsidRPr="00DE4F22" w:rsidRDefault="008454D9">
      <w:pPr>
        <w:tabs>
          <w:tab w:val="left" w:pos="1540"/>
        </w:tabs>
        <w:rPr>
          <w:rFonts w:ascii="Georgia" w:eastAsia="Georgia" w:hAnsi="Georgia" w:cs="Georgia"/>
          <w:color w:val="153056"/>
        </w:rPr>
      </w:pPr>
    </w:p>
    <w:p w14:paraId="5636F179" w14:textId="77777777" w:rsidR="008454D9" w:rsidRPr="00DE4F22" w:rsidRDefault="008454D9">
      <w:pPr>
        <w:tabs>
          <w:tab w:val="left" w:pos="1540"/>
        </w:tabs>
        <w:rPr>
          <w:rFonts w:ascii="Georgia" w:eastAsia="Georgia" w:hAnsi="Georgia" w:cs="Georgia"/>
          <w:color w:val="153056"/>
        </w:rPr>
      </w:pPr>
    </w:p>
    <w:p w14:paraId="14DA978F" w14:textId="77777777" w:rsidR="008454D9" w:rsidRPr="00DE4F22" w:rsidRDefault="008454D9">
      <w:pPr>
        <w:tabs>
          <w:tab w:val="left" w:pos="1540"/>
        </w:tabs>
        <w:rPr>
          <w:rFonts w:ascii="Georgia" w:eastAsia="Georgia" w:hAnsi="Georgia" w:cs="Georgia"/>
          <w:color w:val="153056"/>
        </w:rPr>
      </w:pPr>
    </w:p>
    <w:p w14:paraId="20F5124E" w14:textId="77777777" w:rsidR="008454D9" w:rsidRPr="00DE4F22" w:rsidRDefault="008454D9">
      <w:pPr>
        <w:tabs>
          <w:tab w:val="left" w:pos="1540"/>
        </w:tabs>
        <w:rPr>
          <w:rFonts w:ascii="Georgia" w:eastAsia="Georgia" w:hAnsi="Georgia" w:cs="Georgia"/>
          <w:color w:val="153056"/>
        </w:rPr>
      </w:pPr>
    </w:p>
    <w:p w14:paraId="74CC0D81" w14:textId="77777777" w:rsidR="008454D9" w:rsidRPr="00DE4F22" w:rsidRDefault="008454D9">
      <w:pPr>
        <w:tabs>
          <w:tab w:val="left" w:pos="1540"/>
        </w:tabs>
        <w:rPr>
          <w:rFonts w:ascii="Georgia" w:eastAsia="Georgia" w:hAnsi="Georgia" w:cs="Georgia"/>
          <w:color w:val="153056"/>
        </w:rPr>
      </w:pPr>
    </w:p>
    <w:p w14:paraId="532EFF87" w14:textId="77777777" w:rsidR="007077A7" w:rsidRPr="00DE4F22" w:rsidRDefault="007077A7">
      <w:pPr>
        <w:tabs>
          <w:tab w:val="left" w:pos="1540"/>
        </w:tabs>
        <w:rPr>
          <w:rFonts w:ascii="Georgia" w:eastAsia="Georgia" w:hAnsi="Georgia" w:cs="Georgia"/>
          <w:color w:val="153056"/>
        </w:rPr>
      </w:pPr>
    </w:p>
    <w:p w14:paraId="4D0DCD03" w14:textId="77777777" w:rsidR="007077A7" w:rsidRPr="00DE4F22" w:rsidRDefault="007077A7">
      <w:pPr>
        <w:tabs>
          <w:tab w:val="left" w:pos="1540"/>
        </w:tabs>
        <w:rPr>
          <w:rFonts w:ascii="Georgia" w:eastAsia="Georgia" w:hAnsi="Georgia" w:cs="Georgia"/>
          <w:color w:val="153056"/>
        </w:rPr>
      </w:pPr>
    </w:p>
    <w:p w14:paraId="257EC64E" w14:textId="77777777" w:rsidR="007077A7" w:rsidRPr="00DE4F22" w:rsidRDefault="007077A7">
      <w:pPr>
        <w:tabs>
          <w:tab w:val="left" w:pos="1540"/>
        </w:tabs>
        <w:rPr>
          <w:rFonts w:ascii="Georgia" w:eastAsia="Georgia" w:hAnsi="Georgia" w:cs="Georgia"/>
          <w:color w:val="153056"/>
        </w:rPr>
      </w:pPr>
    </w:p>
    <w:p w14:paraId="0B8A6C7D" w14:textId="77777777" w:rsidR="007077A7" w:rsidRPr="00DE4F22" w:rsidRDefault="007077A7">
      <w:pPr>
        <w:tabs>
          <w:tab w:val="left" w:pos="1540"/>
        </w:tabs>
        <w:rPr>
          <w:rFonts w:ascii="Georgia" w:eastAsia="Georgia" w:hAnsi="Georgia" w:cs="Georgia"/>
          <w:color w:val="153056"/>
        </w:rPr>
      </w:pPr>
    </w:p>
    <w:p w14:paraId="5870BC31" w14:textId="77777777" w:rsidR="007077A7" w:rsidRPr="00DE4F22" w:rsidRDefault="007077A7">
      <w:pPr>
        <w:tabs>
          <w:tab w:val="left" w:pos="1540"/>
        </w:tabs>
        <w:rPr>
          <w:rFonts w:ascii="Georgia" w:eastAsia="Georgia" w:hAnsi="Georgia" w:cs="Georgia"/>
          <w:color w:val="153056"/>
        </w:rPr>
      </w:pPr>
    </w:p>
    <w:p w14:paraId="77F09A42" w14:textId="77777777" w:rsidR="007077A7" w:rsidRPr="00DE4F22" w:rsidRDefault="007077A7">
      <w:pPr>
        <w:tabs>
          <w:tab w:val="left" w:pos="1540"/>
        </w:tabs>
        <w:rPr>
          <w:rFonts w:ascii="Georgia" w:eastAsia="Georgia" w:hAnsi="Georgia" w:cs="Georgia"/>
          <w:color w:val="153056"/>
        </w:rPr>
      </w:pPr>
    </w:p>
    <w:p w14:paraId="645ADCD8" w14:textId="77777777" w:rsidR="007077A7" w:rsidRPr="00DE4F22" w:rsidRDefault="007077A7">
      <w:pPr>
        <w:tabs>
          <w:tab w:val="left" w:pos="1540"/>
        </w:tabs>
        <w:rPr>
          <w:rFonts w:ascii="Georgia" w:eastAsia="Georgia" w:hAnsi="Georgia" w:cs="Georgia"/>
          <w:color w:val="153056"/>
        </w:rPr>
      </w:pPr>
    </w:p>
    <w:p w14:paraId="0CD748E0" w14:textId="77777777" w:rsidR="007077A7" w:rsidRPr="00DE4F22" w:rsidRDefault="007077A7">
      <w:pPr>
        <w:tabs>
          <w:tab w:val="left" w:pos="1540"/>
        </w:tabs>
        <w:rPr>
          <w:rFonts w:ascii="Georgia" w:eastAsia="Georgia" w:hAnsi="Georgia" w:cs="Georgia"/>
          <w:color w:val="153056"/>
        </w:rPr>
      </w:pPr>
    </w:p>
    <w:p w14:paraId="3A137D43" w14:textId="77777777" w:rsidR="008454D9" w:rsidRDefault="008454D9">
      <w:pPr>
        <w:tabs>
          <w:tab w:val="left" w:pos="1540"/>
        </w:tabs>
        <w:rPr>
          <w:rFonts w:ascii="Georgia" w:eastAsia="Georgia" w:hAnsi="Georgia" w:cs="Georgia"/>
          <w:color w:val="153056"/>
        </w:rPr>
      </w:pPr>
    </w:p>
    <w:p w14:paraId="75F337DC" w14:textId="77777777" w:rsidR="00135EC1" w:rsidRDefault="00135EC1">
      <w:pPr>
        <w:tabs>
          <w:tab w:val="left" w:pos="1540"/>
        </w:tabs>
        <w:rPr>
          <w:rFonts w:ascii="Georgia" w:eastAsia="Georgia" w:hAnsi="Georgia" w:cs="Georgia"/>
          <w:color w:val="153056"/>
        </w:rPr>
      </w:pPr>
    </w:p>
    <w:p w14:paraId="3B8AC12C" w14:textId="77777777" w:rsidR="00135EC1" w:rsidRPr="00DE4F22" w:rsidRDefault="00135EC1">
      <w:pPr>
        <w:tabs>
          <w:tab w:val="left" w:pos="1540"/>
        </w:tabs>
        <w:rPr>
          <w:rFonts w:ascii="Georgia" w:eastAsia="Georgia" w:hAnsi="Georgia" w:cs="Georgia"/>
          <w:color w:val="153056"/>
        </w:rPr>
      </w:pPr>
    </w:p>
    <w:p w14:paraId="18B93C8C" w14:textId="4D1F40B1" w:rsidR="008454D9" w:rsidRPr="00DE4F22" w:rsidRDefault="008454D9">
      <w:pPr>
        <w:tabs>
          <w:tab w:val="left" w:pos="1540"/>
        </w:tabs>
        <w:rPr>
          <w:rFonts w:ascii="Georgia" w:eastAsia="Georgia" w:hAnsi="Georgia" w:cs="Georgia"/>
          <w:color w:val="153056"/>
        </w:rPr>
      </w:pPr>
    </w:p>
    <w:p w14:paraId="43019520" w14:textId="77777777" w:rsidR="00C67AE9" w:rsidRPr="00DE4F22" w:rsidRDefault="00C67AE9">
      <w:pPr>
        <w:tabs>
          <w:tab w:val="left" w:pos="1540"/>
        </w:tabs>
        <w:rPr>
          <w:rFonts w:ascii="Georgia" w:eastAsia="Georgia" w:hAnsi="Georgia" w:cs="Georgia"/>
          <w:color w:val="153056"/>
        </w:rPr>
      </w:pPr>
    </w:p>
    <w:p w14:paraId="15548C19" w14:textId="77777777" w:rsidR="008454D9" w:rsidRPr="00DE4F22" w:rsidRDefault="008454D9">
      <w:pPr>
        <w:tabs>
          <w:tab w:val="left" w:pos="1540"/>
        </w:tabs>
        <w:rPr>
          <w:rFonts w:ascii="Georgia" w:eastAsia="Georgia" w:hAnsi="Georgia" w:cs="Georgia"/>
          <w:color w:val="153056"/>
        </w:rPr>
      </w:pPr>
    </w:p>
    <w:p w14:paraId="302C2B70" w14:textId="77777777" w:rsidR="008454D9" w:rsidRPr="00DE4F22" w:rsidRDefault="008454D9">
      <w:pPr>
        <w:tabs>
          <w:tab w:val="left" w:pos="1540"/>
        </w:tabs>
        <w:rPr>
          <w:rFonts w:ascii="Georgia" w:eastAsia="Georgia" w:hAnsi="Georgia" w:cs="Georgia"/>
          <w:color w:val="153056"/>
        </w:rPr>
      </w:pPr>
    </w:p>
    <w:p w14:paraId="298B2F52" w14:textId="77777777" w:rsidR="008454D9" w:rsidRPr="00DE4F22" w:rsidRDefault="008454D9">
      <w:pPr>
        <w:tabs>
          <w:tab w:val="left" w:pos="1540"/>
        </w:tabs>
        <w:rPr>
          <w:rFonts w:ascii="Georgia" w:eastAsia="Georgia" w:hAnsi="Georgia" w:cs="Georgia"/>
          <w:color w:val="153056"/>
        </w:rPr>
      </w:pPr>
    </w:p>
    <w:p w14:paraId="5BA32924" w14:textId="77777777" w:rsidR="0068083D" w:rsidRPr="00DE4F22" w:rsidRDefault="0068083D">
      <w:pPr>
        <w:tabs>
          <w:tab w:val="left" w:pos="1540"/>
        </w:tabs>
        <w:rPr>
          <w:rFonts w:ascii="Georgia" w:eastAsia="Georgia" w:hAnsi="Georgia" w:cs="Georgia"/>
          <w:color w:val="153056"/>
        </w:rPr>
      </w:pPr>
    </w:p>
    <w:p w14:paraId="1D6E2771" w14:textId="3A6DCC87" w:rsidR="00695808" w:rsidRPr="00DE4F22" w:rsidRDefault="00695808">
      <w:pPr>
        <w:tabs>
          <w:tab w:val="left" w:pos="1540"/>
        </w:tabs>
        <w:rPr>
          <w:rFonts w:eastAsia="Georgia"/>
          <w:color w:val="153056"/>
        </w:rPr>
      </w:pPr>
    </w:p>
    <w:p w14:paraId="25EBD9F7" w14:textId="28B70D02" w:rsidR="00023EDD" w:rsidRPr="00DE4F22" w:rsidRDefault="00E830AD" w:rsidP="009E74B1">
      <w:pPr>
        <w:pStyle w:val="Heading2"/>
        <w:shd w:val="clear" w:color="auto" w:fill="2F5496" w:themeFill="accent1" w:themeFillShade="BF"/>
        <w:rPr>
          <w:rFonts w:eastAsia="Georgia"/>
          <w:color w:val="FFFFFF" w:themeColor="background1"/>
        </w:rPr>
      </w:pPr>
      <w:bookmarkStart w:id="1" w:name="_Toc195614771"/>
      <w:r w:rsidRPr="00DE4F22">
        <w:rPr>
          <w:rFonts w:eastAsia="Georgia"/>
          <w:color w:val="FFFFFF" w:themeColor="background1"/>
        </w:rPr>
        <w:t xml:space="preserve">I </w:t>
      </w:r>
      <w:r w:rsidR="009C2EB0" w:rsidRPr="00DE4F22">
        <w:rPr>
          <w:rFonts w:eastAsia="Georgia"/>
          <w:color w:val="FFFFFF" w:themeColor="background1"/>
        </w:rPr>
        <w:t>U</w:t>
      </w:r>
      <w:r w:rsidR="009E74B1" w:rsidRPr="00DE4F22">
        <w:rPr>
          <w:rFonts w:eastAsia="Georgia"/>
          <w:color w:val="FFFFFF" w:themeColor="background1"/>
        </w:rPr>
        <w:t>VOD</w:t>
      </w:r>
      <w:bookmarkEnd w:id="1"/>
    </w:p>
    <w:p w14:paraId="6415B03F" w14:textId="4BBF38A7" w:rsidR="00656EF2" w:rsidRPr="00DE4F22" w:rsidRDefault="00023EDD">
      <w:pPr>
        <w:spacing w:before="240"/>
        <w:jc w:val="both"/>
        <w:rPr>
          <w:rFonts w:eastAsia="Georgia"/>
        </w:rPr>
      </w:pPr>
      <w:r w:rsidRPr="00DE4F22">
        <w:rPr>
          <w:rFonts w:eastAsia="Georgia"/>
        </w:rPr>
        <w:t>Polazne osnove za izradu Finansijskog plana Eko-fonda za 202</w:t>
      </w:r>
      <w:r w:rsidR="00E04940">
        <w:rPr>
          <w:rFonts w:eastAsia="Georgia"/>
        </w:rPr>
        <w:t>5</w:t>
      </w:r>
      <w:r w:rsidRPr="00DE4F22">
        <w:rPr>
          <w:rFonts w:eastAsia="Georgia"/>
        </w:rPr>
        <w:t xml:space="preserve">. godinu su: </w:t>
      </w:r>
      <w:r w:rsidR="009A7589" w:rsidRPr="00DE4F22">
        <w:rPr>
          <w:rFonts w:eastAsia="Georgia"/>
        </w:rPr>
        <w:t>Program rada za 202</w:t>
      </w:r>
      <w:r w:rsidR="00E552C5" w:rsidRPr="00DE4F22">
        <w:rPr>
          <w:rFonts w:eastAsia="Georgia"/>
        </w:rPr>
        <w:t>4</w:t>
      </w:r>
      <w:r w:rsidR="009A7589" w:rsidRPr="00DE4F22">
        <w:rPr>
          <w:rFonts w:eastAsia="Georgia"/>
        </w:rPr>
        <w:t xml:space="preserve">. godinu, </w:t>
      </w:r>
      <w:r w:rsidRPr="00DE4F22">
        <w:rPr>
          <w:rFonts w:eastAsia="Georgia"/>
        </w:rPr>
        <w:t xml:space="preserve">Izvještaj </w:t>
      </w:r>
      <w:r w:rsidR="00656EF2" w:rsidRPr="00DE4F22">
        <w:rPr>
          <w:rFonts w:eastAsia="Georgia"/>
        </w:rPr>
        <w:t xml:space="preserve">o </w:t>
      </w:r>
      <w:r w:rsidRPr="00DE4F22">
        <w:rPr>
          <w:rFonts w:eastAsia="Georgia"/>
        </w:rPr>
        <w:t>realizaciji finansijskog plana za 202</w:t>
      </w:r>
      <w:r w:rsidR="00E04940">
        <w:rPr>
          <w:rFonts w:eastAsia="Georgia"/>
        </w:rPr>
        <w:t>4</w:t>
      </w:r>
      <w:r w:rsidRPr="00DE4F22">
        <w:rPr>
          <w:rFonts w:eastAsia="Georgia"/>
        </w:rPr>
        <w:t>. godin</w:t>
      </w:r>
      <w:r w:rsidR="00D41758" w:rsidRPr="00DE4F22">
        <w:rPr>
          <w:rFonts w:eastAsia="Georgia"/>
        </w:rPr>
        <w:t>u</w:t>
      </w:r>
      <w:r w:rsidR="00262DE0" w:rsidRPr="00DE4F22">
        <w:rPr>
          <w:rFonts w:eastAsia="Georgia"/>
        </w:rPr>
        <w:t xml:space="preserve"> i </w:t>
      </w:r>
      <w:r w:rsidR="00AB7314" w:rsidRPr="00DE4F22">
        <w:rPr>
          <w:rFonts w:eastAsia="Georgia"/>
        </w:rPr>
        <w:t>planirani</w:t>
      </w:r>
      <w:r w:rsidR="00262DE0" w:rsidRPr="00DE4F22">
        <w:rPr>
          <w:rFonts w:eastAsia="Georgia"/>
        </w:rPr>
        <w:t xml:space="preserve"> prilivi po osnovu </w:t>
      </w:r>
      <w:r w:rsidR="0080654A" w:rsidRPr="00DE4F22">
        <w:rPr>
          <w:rFonts w:eastAsia="Georgia"/>
        </w:rPr>
        <w:t>eko-</w:t>
      </w:r>
      <w:r w:rsidR="00262DE0" w:rsidRPr="00DE4F22">
        <w:rPr>
          <w:rFonts w:eastAsia="Georgia"/>
        </w:rPr>
        <w:t>naknada</w:t>
      </w:r>
      <w:r w:rsidR="0080654A" w:rsidRPr="00DE4F22">
        <w:rPr>
          <w:rFonts w:eastAsia="Georgia"/>
        </w:rPr>
        <w:t xml:space="preserve"> kroz princip „zagađivač plaća</w:t>
      </w:r>
      <w:r w:rsidR="000602F0" w:rsidRPr="00DE4F22">
        <w:rPr>
          <w:rFonts w:eastAsia="Georgia"/>
        </w:rPr>
        <w:t xml:space="preserve">” </w:t>
      </w:r>
      <w:r w:rsidR="00F86A34" w:rsidRPr="00DE4F22">
        <w:rPr>
          <w:rFonts w:eastAsia="Georgia"/>
        </w:rPr>
        <w:t xml:space="preserve"> </w:t>
      </w:r>
      <w:r w:rsidR="0080654A" w:rsidRPr="00DE4F22">
        <w:rPr>
          <w:rFonts w:eastAsia="Georgia"/>
        </w:rPr>
        <w:t>shodno Uredbi o visini naknada, načinu obračuna i plaćanja naknada zbog zagađivanja životne sredine</w:t>
      </w:r>
      <w:r w:rsidR="00B6049D" w:rsidRPr="00111343">
        <w:t>(„Sl. list RCG”, br. 26/97, 9/00, 52/00, „Sl. list CG”, br. 33/08, 5/09, 64/09, 40/11, 49/11, 119/22).</w:t>
      </w:r>
      <w:r w:rsidR="0080654A" w:rsidRPr="00DE4F22">
        <w:rPr>
          <w:rFonts w:eastAsia="Georgia"/>
        </w:rPr>
        <w:t xml:space="preserve">, kao i </w:t>
      </w:r>
      <w:r w:rsidR="00262DE0" w:rsidRPr="00DE4F22">
        <w:rPr>
          <w:rFonts w:eastAsia="Georgia"/>
        </w:rPr>
        <w:t xml:space="preserve"> </w:t>
      </w:r>
      <w:r w:rsidR="0080654A" w:rsidRPr="00DE4F22">
        <w:rPr>
          <w:rFonts w:eastAsia="Georgia"/>
        </w:rPr>
        <w:t>sredstava prikupljenih od emisionih kredita</w:t>
      </w:r>
      <w:r w:rsidR="00AB7314" w:rsidRPr="00DE4F22">
        <w:rPr>
          <w:rFonts w:eastAsia="Georgia"/>
        </w:rPr>
        <w:t xml:space="preserve"> po osnovu </w:t>
      </w:r>
      <w:r w:rsidR="00E53B23" w:rsidRPr="00DE4F22">
        <w:rPr>
          <w:rFonts w:eastAsia="Georgia"/>
        </w:rPr>
        <w:t>J</w:t>
      </w:r>
      <w:r w:rsidR="00AB7314" w:rsidRPr="00DE4F22">
        <w:rPr>
          <w:rFonts w:eastAsia="Georgia"/>
        </w:rPr>
        <w:t xml:space="preserve">avne aukcije shodno Uredbi o aktivnostima odnosno </w:t>
      </w:r>
      <w:r w:rsidR="008454D9" w:rsidRPr="00DE4F22">
        <w:rPr>
          <w:rFonts w:eastAsia="Georgia"/>
        </w:rPr>
        <w:t>dj</w:t>
      </w:r>
      <w:r w:rsidR="00AB7314" w:rsidRPr="00DE4F22">
        <w:rPr>
          <w:rFonts w:eastAsia="Georgia"/>
        </w:rPr>
        <w:t>elatnostima koje emituju gasove sa efektom staklene bašte</w:t>
      </w:r>
      <w:r w:rsidR="00B6049D">
        <w:rPr>
          <w:rFonts w:eastAsia="Georgia"/>
        </w:rPr>
        <w:t xml:space="preserve"> </w:t>
      </w:r>
      <w:r w:rsidR="00B6049D" w:rsidRPr="003A2ADE">
        <w:t>(„Službeni list CG</w:t>
      </w:r>
      <w:r w:rsidR="00B6049D">
        <w:t>“</w:t>
      </w:r>
      <w:r w:rsidR="00B6049D" w:rsidRPr="003A2ADE">
        <w:t xml:space="preserve">, br. 8/20) </w:t>
      </w:r>
      <w:r w:rsidR="00AB7314" w:rsidRPr="00DE4F22">
        <w:rPr>
          <w:rFonts w:eastAsia="Georgia"/>
        </w:rPr>
        <w:t xml:space="preserve"> za koje se izdaje dozvola za emisiju gasova sa efektom staklene bašte</w:t>
      </w:r>
      <w:r w:rsidR="00262DE0" w:rsidRPr="00DE4F22">
        <w:rPr>
          <w:rFonts w:eastAsia="Georgia"/>
        </w:rPr>
        <w:t xml:space="preserve"> u 202</w:t>
      </w:r>
      <w:r w:rsidR="00E552C5" w:rsidRPr="00DE4F22">
        <w:rPr>
          <w:rFonts w:eastAsia="Georgia"/>
        </w:rPr>
        <w:t>4</w:t>
      </w:r>
      <w:r w:rsidR="00262DE0" w:rsidRPr="00DE4F22">
        <w:rPr>
          <w:rFonts w:eastAsia="Georgia"/>
        </w:rPr>
        <w:t>. godini</w:t>
      </w:r>
      <w:r w:rsidR="003D5392" w:rsidRPr="00DE4F22">
        <w:rPr>
          <w:rFonts w:eastAsia="Georgia"/>
        </w:rPr>
        <w:t>.</w:t>
      </w:r>
    </w:p>
    <w:p w14:paraId="2F1740B9" w14:textId="0AA62198" w:rsidR="00695808" w:rsidRPr="00DE4F22" w:rsidRDefault="009C2EB0" w:rsidP="001B541A">
      <w:pPr>
        <w:spacing w:before="240"/>
        <w:jc w:val="both"/>
        <w:rPr>
          <w:rFonts w:eastAsia="Georgia"/>
        </w:rPr>
      </w:pPr>
      <w:r w:rsidRPr="00DE4F22">
        <w:rPr>
          <w:rFonts w:eastAsia="Georgia"/>
        </w:rPr>
        <w:t xml:space="preserve">Način finansiranja </w:t>
      </w:r>
      <w:r w:rsidR="00262DE0" w:rsidRPr="00DE4F22">
        <w:rPr>
          <w:rFonts w:eastAsia="Georgia"/>
        </w:rPr>
        <w:t>Eko-fonda</w:t>
      </w:r>
      <w:r w:rsidRPr="00DE4F22">
        <w:rPr>
          <w:rFonts w:eastAsia="Georgia"/>
        </w:rPr>
        <w:t xml:space="preserve">, propisan je članom 76 Zakona o životnoj </w:t>
      </w:r>
      <w:r w:rsidR="00253DD9" w:rsidRPr="00C02B55">
        <w:rPr>
          <w:rFonts w:ascii="Arial" w:hAnsi="Arial" w:cs="Arial"/>
          <w:sz w:val="20"/>
          <w:szCs w:val="20"/>
        </w:rPr>
        <w:t>(„Službeni list CG”, broj 52/16, 73/19, 84/24)</w:t>
      </w:r>
      <w:r w:rsidRPr="00DE4F22">
        <w:rPr>
          <w:rFonts w:eastAsia="Georgia"/>
        </w:rPr>
        <w:t xml:space="preserve">, pri čemu se stavom 3 utvrđuje da se sredstva za rad </w:t>
      </w:r>
      <w:r w:rsidR="00CE0E99" w:rsidRPr="00DE4F22">
        <w:rPr>
          <w:rFonts w:eastAsia="Georgia"/>
        </w:rPr>
        <w:t>Eko-fond</w:t>
      </w:r>
      <w:r w:rsidRPr="00DE4F22">
        <w:rPr>
          <w:rFonts w:eastAsia="Georgia"/>
        </w:rPr>
        <w:t xml:space="preserve">a obezbjeđuju iz: budžeta Crne Gore; sredstava eko-naknada; kredita, donacija i pomoći; instrumenata, programa i fondova Evropske unije, Ujedinjenih nacija i međunarodnih organizacija; stranih ulaganja namijenjenih zaštiti životne sredine i drugih izvora u skladu sa zakonom. U skladu sa </w:t>
      </w:r>
      <w:r w:rsidR="001F05D4" w:rsidRPr="00DE4F22">
        <w:rPr>
          <w:rFonts w:eastAsia="Georgia"/>
        </w:rPr>
        <w:t xml:space="preserve">članom 6 stav 2 </w:t>
      </w:r>
      <w:r w:rsidRPr="00DE4F22">
        <w:rPr>
          <w:rFonts w:eastAsia="Georgia"/>
        </w:rPr>
        <w:t xml:space="preserve">Odluke o osnivanju Fonda za zaštitu životne sredine, sredstva se utvrđuju i koriste u skladu sa finansijskim planom </w:t>
      </w:r>
      <w:r w:rsidR="00CE0E99" w:rsidRPr="00DE4F22">
        <w:rPr>
          <w:rFonts w:eastAsia="Georgia"/>
        </w:rPr>
        <w:t>Eko-fond</w:t>
      </w:r>
      <w:r w:rsidRPr="00DE4F22">
        <w:rPr>
          <w:rFonts w:eastAsia="Georgia"/>
        </w:rPr>
        <w:t xml:space="preserve">a, dok </w:t>
      </w:r>
      <w:r w:rsidR="001F05D4" w:rsidRPr="00DE4F22">
        <w:rPr>
          <w:rFonts w:eastAsia="Georgia"/>
        </w:rPr>
        <w:t xml:space="preserve">je članom </w:t>
      </w:r>
      <w:r w:rsidRPr="00DE4F22">
        <w:rPr>
          <w:rFonts w:eastAsia="Georgia"/>
        </w:rPr>
        <w:t xml:space="preserve">8 </w:t>
      </w:r>
      <w:r w:rsidR="001F05D4" w:rsidRPr="00DE4F22">
        <w:rPr>
          <w:rFonts w:eastAsia="Georgia"/>
        </w:rPr>
        <w:t xml:space="preserve"> stav 1 alineja 4 Odluke utvrđeno da  </w:t>
      </w:r>
      <w:r w:rsidRPr="00DE4F22">
        <w:rPr>
          <w:rFonts w:eastAsia="Georgia"/>
        </w:rPr>
        <w:t>Vlada Crne Gore (Osnivač) daje saglasnost na finansijski plan Društva.</w:t>
      </w:r>
      <w:r w:rsidR="00D52A9B">
        <w:rPr>
          <w:rFonts w:eastAsia="Georgia"/>
        </w:rPr>
        <w:t xml:space="preserve">                                                                                                        </w:t>
      </w:r>
    </w:p>
    <w:p w14:paraId="2A1AB8E6" w14:textId="1C43B64C" w:rsidR="00695808" w:rsidRPr="00DE4F22" w:rsidRDefault="00D52A9B">
      <w:pPr>
        <w:jc w:val="both"/>
        <w:rPr>
          <w:rFonts w:eastAsia="Georgia"/>
        </w:rPr>
      </w:pPr>
      <w:r>
        <w:rPr>
          <w:rFonts w:eastAsia="Georgia"/>
        </w:rPr>
        <w:t xml:space="preserve">                                                                                                                                                   </w:t>
      </w:r>
      <w:r w:rsidR="009C2EB0" w:rsidRPr="00DE4F22">
        <w:rPr>
          <w:rFonts w:eastAsia="Georgia"/>
        </w:rPr>
        <w:t>Na osnovu člana 77 stav 2 alineja 3 Zakona</w:t>
      </w:r>
      <w:r w:rsidR="0044196F" w:rsidRPr="00DE4F22">
        <w:rPr>
          <w:rFonts w:eastAsia="Georgia"/>
        </w:rPr>
        <w:t xml:space="preserve"> o životnoj sredini</w:t>
      </w:r>
      <w:r w:rsidR="009C2EB0" w:rsidRPr="00DE4F22">
        <w:rPr>
          <w:rFonts w:eastAsia="Georgia"/>
        </w:rPr>
        <w:t xml:space="preserve">, člana </w:t>
      </w:r>
      <w:r w:rsidR="001F05D4" w:rsidRPr="00DE4F22">
        <w:rPr>
          <w:rFonts w:eastAsia="Georgia"/>
        </w:rPr>
        <w:t xml:space="preserve">7 </w:t>
      </w:r>
      <w:r w:rsidR="009C2EB0" w:rsidRPr="00DE4F22">
        <w:rPr>
          <w:rFonts w:eastAsia="Georgia"/>
        </w:rPr>
        <w:t xml:space="preserve">Uredbe o visini naknada, načinu obračuna i plaćanja naknada zbog zagađivanja životne sredine i člana 18 Zakona o upravnom postupku, Agencija za zaštitu životne sredine donosi rješenja po osnovu kojih </w:t>
      </w:r>
      <w:r w:rsidR="005971D8" w:rsidRPr="00DE4F22">
        <w:rPr>
          <w:rFonts w:eastAsia="Georgia"/>
        </w:rPr>
        <w:t>obveznici plaćaju eko-naknade, i to:</w:t>
      </w:r>
    </w:p>
    <w:p w14:paraId="5E34122A" w14:textId="635583A5" w:rsidR="00695808" w:rsidRPr="00DE4F22" w:rsidRDefault="009C2EB0">
      <w:pPr>
        <w:numPr>
          <w:ilvl w:val="0"/>
          <w:numId w:val="8"/>
        </w:numPr>
        <w:pBdr>
          <w:top w:val="nil"/>
          <w:left w:val="nil"/>
          <w:bottom w:val="nil"/>
          <w:right w:val="nil"/>
          <w:between w:val="nil"/>
        </w:pBdr>
        <w:jc w:val="both"/>
        <w:rPr>
          <w:rFonts w:eastAsia="Georgia"/>
          <w:color w:val="000000"/>
        </w:rPr>
      </w:pPr>
      <w:r w:rsidRPr="00DE4F22">
        <w:rPr>
          <w:rFonts w:eastAsia="Georgia"/>
          <w:color w:val="000000"/>
        </w:rPr>
        <w:t>Naknad</w:t>
      </w:r>
      <w:r w:rsidR="005971D8" w:rsidRPr="00DE4F22">
        <w:rPr>
          <w:rFonts w:eastAsia="Georgia"/>
          <w:color w:val="000000"/>
        </w:rPr>
        <w:t>u</w:t>
      </w:r>
      <w:r w:rsidRPr="00DE4F22">
        <w:rPr>
          <w:rFonts w:eastAsia="Georgia"/>
          <w:color w:val="000000"/>
        </w:rPr>
        <w:t xml:space="preserve"> za uvoz supstanci koje </w:t>
      </w:r>
      <w:r w:rsidR="00121F85" w:rsidRPr="00DE4F22">
        <w:rPr>
          <w:rFonts w:eastAsia="Georgia"/>
          <w:color w:val="000000"/>
        </w:rPr>
        <w:t>oštećuju</w:t>
      </w:r>
      <w:r w:rsidRPr="00DE4F22">
        <w:rPr>
          <w:rFonts w:eastAsia="Georgia"/>
          <w:color w:val="000000"/>
        </w:rPr>
        <w:t xml:space="preserve"> ozonski omotač</w:t>
      </w:r>
      <w:r w:rsidR="005971D8" w:rsidRPr="00DE4F22">
        <w:rPr>
          <w:rFonts w:eastAsia="Georgia"/>
          <w:color w:val="000000"/>
        </w:rPr>
        <w:t>;</w:t>
      </w:r>
    </w:p>
    <w:p w14:paraId="0EA9C175" w14:textId="77777777" w:rsidR="00695808" w:rsidRPr="00DE4F22" w:rsidRDefault="009C2EB0">
      <w:pPr>
        <w:numPr>
          <w:ilvl w:val="0"/>
          <w:numId w:val="8"/>
        </w:numPr>
        <w:pBdr>
          <w:top w:val="nil"/>
          <w:left w:val="nil"/>
          <w:bottom w:val="nil"/>
          <w:right w:val="nil"/>
          <w:between w:val="nil"/>
        </w:pBdr>
        <w:jc w:val="both"/>
        <w:rPr>
          <w:rFonts w:eastAsia="Georgia"/>
          <w:color w:val="000000"/>
        </w:rPr>
      </w:pPr>
      <w:r w:rsidRPr="00DE4F22">
        <w:rPr>
          <w:rFonts w:eastAsia="Georgia"/>
          <w:color w:val="000000"/>
        </w:rPr>
        <w:t>Naknad</w:t>
      </w:r>
      <w:r w:rsidR="005971D8" w:rsidRPr="00DE4F22">
        <w:rPr>
          <w:rFonts w:eastAsia="Georgia"/>
          <w:color w:val="000000"/>
        </w:rPr>
        <w:t>u</w:t>
      </w:r>
      <w:r w:rsidRPr="00DE4F22">
        <w:rPr>
          <w:rFonts w:eastAsia="Georgia"/>
          <w:color w:val="000000"/>
        </w:rPr>
        <w:t xml:space="preserve"> za ispuštanje zagađujućih materija u vazduh</w:t>
      </w:r>
      <w:r w:rsidR="005971D8" w:rsidRPr="00DE4F22">
        <w:rPr>
          <w:rFonts w:eastAsia="Georgia"/>
          <w:color w:val="000000"/>
        </w:rPr>
        <w:t>;</w:t>
      </w:r>
    </w:p>
    <w:p w14:paraId="216F6412" w14:textId="77777777" w:rsidR="00D41758" w:rsidRDefault="009C2EB0" w:rsidP="007077A7">
      <w:pPr>
        <w:numPr>
          <w:ilvl w:val="0"/>
          <w:numId w:val="8"/>
        </w:numPr>
        <w:pBdr>
          <w:top w:val="nil"/>
          <w:left w:val="nil"/>
          <w:bottom w:val="nil"/>
          <w:right w:val="nil"/>
          <w:between w:val="nil"/>
        </w:pBdr>
        <w:spacing w:after="240"/>
        <w:jc w:val="both"/>
        <w:rPr>
          <w:rFonts w:eastAsia="Georgia"/>
          <w:color w:val="000000"/>
        </w:rPr>
      </w:pPr>
      <w:r w:rsidRPr="00DE4F22">
        <w:rPr>
          <w:rFonts w:eastAsia="Georgia"/>
          <w:color w:val="000000"/>
        </w:rPr>
        <w:t>Naknad</w:t>
      </w:r>
      <w:r w:rsidR="005971D8" w:rsidRPr="00DE4F22">
        <w:rPr>
          <w:rFonts w:eastAsia="Georgia"/>
          <w:color w:val="000000"/>
        </w:rPr>
        <w:t>u</w:t>
      </w:r>
      <w:r w:rsidRPr="00DE4F22">
        <w:rPr>
          <w:rFonts w:eastAsia="Georgia"/>
          <w:color w:val="000000"/>
        </w:rPr>
        <w:t xml:space="preserve"> za stvaranje i deponovanje opasnog otpada</w:t>
      </w:r>
      <w:r w:rsidR="005971D8" w:rsidRPr="00DE4F22">
        <w:rPr>
          <w:rFonts w:eastAsia="Georgia"/>
          <w:color w:val="000000"/>
        </w:rPr>
        <w:t>.</w:t>
      </w:r>
    </w:p>
    <w:p w14:paraId="798B6A61" w14:textId="2BC05E55" w:rsidR="00D52A9B" w:rsidRPr="002C44E1" w:rsidRDefault="00D52A9B" w:rsidP="00D52A9B">
      <w:pPr>
        <w:jc w:val="both"/>
        <w:rPr>
          <w:rFonts w:eastAsia="Georgia"/>
        </w:rPr>
      </w:pPr>
      <w:r w:rsidRPr="002C44E1">
        <w:rPr>
          <w:rFonts w:eastAsia="Georgia"/>
        </w:rPr>
        <w:t xml:space="preserve">U skladu sa članom 62 stav 11 Zakona o </w:t>
      </w:r>
      <w:r w:rsidR="00DE36FE">
        <w:rPr>
          <w:rFonts w:eastAsia="Georgia"/>
        </w:rPr>
        <w:t>upravljanju otpadom („Sl.list CG“, br.34/24. 92/24)</w:t>
      </w:r>
      <w:r w:rsidRPr="002C44E1">
        <w:rPr>
          <w:rFonts w:eastAsia="Georgia"/>
        </w:rPr>
        <w:t>, prodavac lagane plastične kese za nošenje, debljine zida više od 50 mikrona, plaća naknadu. Sredstva od naknade uplaćuju se na račun Fonda za zaštitu životne sredine i mogu se koristiti samo za finansiranje i kofinansiranje aktivnosti podizanja svijesti i pružanja informacija javnosti i kampanja za štetnost upotrebe plastičnih kesa na životnu sredinu.</w:t>
      </w:r>
    </w:p>
    <w:p w14:paraId="747CF6FB" w14:textId="77777777" w:rsidR="00D52A9B" w:rsidRPr="002C44E1" w:rsidRDefault="00D52A9B" w:rsidP="00D52A9B">
      <w:pPr>
        <w:jc w:val="both"/>
        <w:rPr>
          <w:rFonts w:eastAsia="Georgia"/>
        </w:rPr>
      </w:pPr>
    </w:p>
    <w:p w14:paraId="791C032D" w14:textId="77777777" w:rsidR="00D52A9B" w:rsidRPr="00D52A9B" w:rsidRDefault="00D52A9B" w:rsidP="00D52A9B">
      <w:pPr>
        <w:jc w:val="both"/>
        <w:rPr>
          <w:rFonts w:eastAsia="Georgia"/>
        </w:rPr>
      </w:pPr>
      <w:r w:rsidRPr="002C44E1">
        <w:rPr>
          <w:rFonts w:eastAsia="Georgia"/>
        </w:rPr>
        <w:t>U skladu sa Uredbom o naknadi koju plaća prodavac lagane plastične kese za nošenje, debljine zida više od 50 mikrona ("Službeni list CG", br. 105/24) ista se obračunava na osnovu mjesečnog izvještaja o količini kesa koju je prodavac stavio u promet. Prodavac dostavlja izvještaj organu uprave nadležnom za poslove zaštite životne sredine. Visina naknade koju plaća prodavac lagane plastične kese za nošenje, debljine zida više od 50 mikrona iznosi 0,03 € po komadu.</w:t>
      </w:r>
    </w:p>
    <w:p w14:paraId="4634FAEF" w14:textId="77777777" w:rsidR="00D52A9B" w:rsidRPr="00DE4F22" w:rsidRDefault="00D52A9B" w:rsidP="00D52A9B">
      <w:pPr>
        <w:pBdr>
          <w:top w:val="nil"/>
          <w:left w:val="nil"/>
          <w:bottom w:val="nil"/>
          <w:right w:val="nil"/>
          <w:between w:val="nil"/>
        </w:pBdr>
        <w:spacing w:after="240"/>
        <w:jc w:val="both"/>
        <w:rPr>
          <w:rFonts w:eastAsia="Georgia"/>
          <w:color w:val="000000"/>
        </w:rPr>
      </w:pPr>
    </w:p>
    <w:p w14:paraId="495ED3B7" w14:textId="03150CE1" w:rsidR="00262DE0" w:rsidRPr="00DE4F22" w:rsidRDefault="00262DE0" w:rsidP="00262DE0">
      <w:pPr>
        <w:jc w:val="both"/>
        <w:rPr>
          <w:rFonts w:eastAsia="Georgia"/>
        </w:rPr>
      </w:pPr>
      <w:r w:rsidRPr="00DE4F22">
        <w:rPr>
          <w:rFonts w:eastAsia="Georgia"/>
        </w:rPr>
        <w:t xml:space="preserve">Shodno </w:t>
      </w:r>
      <w:bookmarkStart w:id="2" w:name="_Hlk93911966"/>
      <w:r w:rsidRPr="00DE4F22">
        <w:rPr>
          <w:rFonts w:eastAsia="Georgia"/>
        </w:rPr>
        <w:t xml:space="preserve">Uredbi o aktivnostima odnosno </w:t>
      </w:r>
      <w:r w:rsidR="008454D9" w:rsidRPr="00DE4F22">
        <w:rPr>
          <w:rFonts w:eastAsia="Georgia"/>
        </w:rPr>
        <w:t>djelatnost</w:t>
      </w:r>
      <w:r w:rsidRPr="00DE4F22">
        <w:rPr>
          <w:rFonts w:eastAsia="Georgia"/>
        </w:rPr>
        <w:t>ima koje emituju gasove sa efektom staklene bašte za koje se izdaje dozvola za emisiju gasova sa efektom staklene bašte</w:t>
      </w:r>
      <w:bookmarkEnd w:id="2"/>
      <w:r w:rsidRPr="00DE4F22">
        <w:rPr>
          <w:rFonts w:eastAsia="Georgia"/>
        </w:rPr>
        <w:t xml:space="preserve">, </w:t>
      </w:r>
      <w:r w:rsidR="00CE0E99" w:rsidRPr="00DE4F22">
        <w:rPr>
          <w:rFonts w:eastAsia="Georgia"/>
        </w:rPr>
        <w:t>Eko-fond</w:t>
      </w:r>
      <w:r w:rsidRPr="00DE4F22">
        <w:rPr>
          <w:rFonts w:eastAsia="Georgia"/>
        </w:rPr>
        <w:t xml:space="preserve"> ostvaruje prihode od </w:t>
      </w:r>
      <w:r w:rsidR="005D20F7" w:rsidRPr="00DE4F22">
        <w:t>Javne aukcije koja se sprovodi na osnovu poziva za dodjelu emision</w:t>
      </w:r>
      <w:r w:rsidR="00D34524" w:rsidRPr="00DE4F22">
        <w:t>ih</w:t>
      </w:r>
      <w:r w:rsidR="005D20F7" w:rsidRPr="00DE4F22">
        <w:t xml:space="preserve"> kredita, koji raspisuje organ državne uprave nadležan za zaštitu životne sredine, i po tom osnovu su planirani prilivi u 202</w:t>
      </w:r>
      <w:r w:rsidR="00D52A9B">
        <w:t>5</w:t>
      </w:r>
      <w:r w:rsidR="005D20F7" w:rsidRPr="00DE4F22">
        <w:t xml:space="preserve">. </w:t>
      </w:r>
      <w:r w:rsidR="00812198" w:rsidRPr="00DE4F22">
        <w:t>g</w:t>
      </w:r>
      <w:r w:rsidR="005D20F7" w:rsidRPr="00DE4F22">
        <w:t>odini. Takođe, Uredbom je data</w:t>
      </w:r>
      <w:r w:rsidR="00D36322" w:rsidRPr="00DE4F22">
        <w:t xml:space="preserve"> </w:t>
      </w:r>
      <w:r w:rsidR="005D20F7" w:rsidRPr="00DE4F22">
        <w:t xml:space="preserve">mogućnost </w:t>
      </w:r>
      <w:r w:rsidRPr="00DE4F22">
        <w:rPr>
          <w:rFonts w:eastAsia="Georgia"/>
        </w:rPr>
        <w:t xml:space="preserve">prenosa emisionih kredita u iznosu od 0,1% minimalne cijene emisionog kredita koja iznosi 24€/tCO2. </w:t>
      </w:r>
    </w:p>
    <w:p w14:paraId="7DDD6E82" w14:textId="579384C5" w:rsidR="00695808" w:rsidRPr="00DE4F22" w:rsidRDefault="00A956ED" w:rsidP="009E74B1">
      <w:pPr>
        <w:pStyle w:val="Heading2"/>
        <w:shd w:val="clear" w:color="auto" w:fill="2F5496" w:themeFill="accent1" w:themeFillShade="BF"/>
        <w:rPr>
          <w:rFonts w:eastAsia="Georgia"/>
          <w:color w:val="FFFFFF" w:themeColor="background1"/>
        </w:rPr>
      </w:pPr>
      <w:bookmarkStart w:id="3" w:name="_Toc195614772"/>
      <w:r w:rsidRPr="00DE4F22">
        <w:rPr>
          <w:rFonts w:eastAsia="Georgia"/>
          <w:color w:val="FFFFFF" w:themeColor="background1"/>
        </w:rPr>
        <w:lastRenderedPageBreak/>
        <w:t xml:space="preserve">II </w:t>
      </w:r>
      <w:r w:rsidR="009C2EB0" w:rsidRPr="00DE4F22">
        <w:rPr>
          <w:rFonts w:eastAsia="Georgia"/>
          <w:color w:val="FFFFFF" w:themeColor="background1"/>
        </w:rPr>
        <w:t xml:space="preserve">PLAN </w:t>
      </w:r>
      <w:r w:rsidR="00164F6B" w:rsidRPr="00DE4F22">
        <w:rPr>
          <w:rFonts w:eastAsia="Georgia"/>
          <w:color w:val="FFFFFF" w:themeColor="background1"/>
        </w:rPr>
        <w:t>PRILIVA</w:t>
      </w:r>
      <w:bookmarkEnd w:id="3"/>
    </w:p>
    <w:p w14:paraId="32E5733A" w14:textId="6AD6A790" w:rsidR="00695808" w:rsidRPr="00DE4F22" w:rsidRDefault="009C2EB0">
      <w:pPr>
        <w:pBdr>
          <w:top w:val="nil"/>
          <w:left w:val="nil"/>
          <w:bottom w:val="nil"/>
          <w:right w:val="nil"/>
          <w:between w:val="nil"/>
        </w:pBdr>
        <w:spacing w:before="240" w:after="240"/>
        <w:jc w:val="both"/>
        <w:rPr>
          <w:rFonts w:eastAsia="Georgia"/>
          <w:color w:val="000000"/>
        </w:rPr>
      </w:pPr>
      <w:r w:rsidRPr="00DE4F22">
        <w:rPr>
          <w:rFonts w:eastAsia="Georgia"/>
          <w:color w:val="000000"/>
        </w:rPr>
        <w:t>Finansijski plan Fonda za zaštitu životne sredine za 202</w:t>
      </w:r>
      <w:r w:rsidR="001C60EB">
        <w:rPr>
          <w:rFonts w:eastAsia="Georgia"/>
          <w:color w:val="000000"/>
        </w:rPr>
        <w:t>5</w:t>
      </w:r>
      <w:r w:rsidRPr="00DE4F22">
        <w:rPr>
          <w:rFonts w:eastAsia="Georgia"/>
          <w:color w:val="000000"/>
        </w:rPr>
        <w:t xml:space="preserve">. godinu bazira se na zakonom propisanim izvorima finansiranja </w:t>
      </w:r>
      <w:r w:rsidR="00CE0E99" w:rsidRPr="00DE4F22">
        <w:rPr>
          <w:rFonts w:eastAsia="Georgia"/>
          <w:color w:val="000000"/>
        </w:rPr>
        <w:t>Eko-fond</w:t>
      </w:r>
      <w:r w:rsidRPr="00DE4F22">
        <w:rPr>
          <w:rFonts w:eastAsia="Georgia"/>
          <w:color w:val="000000"/>
        </w:rPr>
        <w:t>a i to:</w:t>
      </w:r>
    </w:p>
    <w:p w14:paraId="2782579B" w14:textId="7DB10BA8" w:rsidR="00695808" w:rsidRPr="00DE4F22" w:rsidRDefault="009C2EB0" w:rsidP="00812198">
      <w:pPr>
        <w:keepLines/>
        <w:pBdr>
          <w:top w:val="nil"/>
          <w:left w:val="nil"/>
          <w:bottom w:val="nil"/>
          <w:right w:val="nil"/>
          <w:between w:val="nil"/>
        </w:pBdr>
        <w:spacing w:before="60" w:after="60"/>
        <w:jc w:val="both"/>
        <w:rPr>
          <w:rFonts w:eastAsia="Georgia"/>
          <w:color w:val="000000"/>
        </w:rPr>
      </w:pPr>
      <w:r w:rsidRPr="00DE4F22">
        <w:rPr>
          <w:rFonts w:eastAsia="Georgia"/>
          <w:color w:val="000000"/>
        </w:rPr>
        <w:t>Godišnji</w:t>
      </w:r>
      <w:r w:rsidR="00AD584E" w:rsidRPr="00DE4F22">
        <w:rPr>
          <w:rFonts w:eastAsia="Georgia"/>
          <w:color w:val="000000"/>
        </w:rPr>
        <w:t>m</w:t>
      </w:r>
      <w:r w:rsidRPr="00DE4F22">
        <w:rPr>
          <w:rFonts w:eastAsia="Georgia"/>
          <w:color w:val="000000"/>
        </w:rPr>
        <w:t xml:space="preserve"> naknad</w:t>
      </w:r>
      <w:r w:rsidR="0057092D" w:rsidRPr="00DE4F22">
        <w:rPr>
          <w:rFonts w:eastAsia="Georgia"/>
          <w:color w:val="000000"/>
        </w:rPr>
        <w:t>a</w:t>
      </w:r>
      <w:r w:rsidR="00AD584E" w:rsidRPr="00DE4F22">
        <w:rPr>
          <w:rFonts w:eastAsia="Georgia"/>
          <w:color w:val="000000"/>
        </w:rPr>
        <w:t>ma</w:t>
      </w:r>
      <w:r w:rsidRPr="00DE4F22">
        <w:rPr>
          <w:rFonts w:eastAsia="Georgia"/>
          <w:color w:val="000000"/>
        </w:rPr>
        <w:t xml:space="preserve"> po osnovu izdatih rješenja od strane Agencije za zaštitu životne sredine na osnovu </w:t>
      </w:r>
      <w:r w:rsidR="00A03DF6" w:rsidRPr="00DE4F22">
        <w:rPr>
          <w:rFonts w:eastAsia="Georgia"/>
          <w:color w:val="000000"/>
        </w:rPr>
        <w:t xml:space="preserve">člana 7 </w:t>
      </w:r>
      <w:r w:rsidR="00A03DF6" w:rsidRPr="00DE4F22">
        <w:rPr>
          <w:rFonts w:eastAsia="Georgia"/>
        </w:rPr>
        <w:t>Uredbe o visini naknada, načinu obračuna i plaćanja naknada zbog zagađivanja životne sredine</w:t>
      </w:r>
      <w:r w:rsidRPr="00DE4F22">
        <w:rPr>
          <w:rFonts w:eastAsia="Georgia"/>
          <w:color w:val="000000"/>
        </w:rPr>
        <w:t>:</w:t>
      </w:r>
    </w:p>
    <w:p w14:paraId="4E679F7D" w14:textId="4DAE467E" w:rsidR="00695808" w:rsidRPr="002C44E1" w:rsidRDefault="00812198" w:rsidP="00812198">
      <w:pPr>
        <w:keepLines/>
        <w:pBdr>
          <w:top w:val="nil"/>
          <w:left w:val="nil"/>
          <w:bottom w:val="nil"/>
          <w:right w:val="nil"/>
          <w:between w:val="nil"/>
        </w:pBdr>
        <w:spacing w:before="60" w:after="60"/>
        <w:jc w:val="both"/>
        <w:rPr>
          <w:rFonts w:eastAsia="Georgia"/>
          <w:color w:val="000000"/>
        </w:rPr>
      </w:pPr>
      <w:r w:rsidRPr="00DE4F22">
        <w:rPr>
          <w:rFonts w:eastAsia="Georgia"/>
          <w:color w:val="000000"/>
        </w:rPr>
        <w:t xml:space="preserve">- </w:t>
      </w:r>
      <w:r w:rsidR="009C2EB0" w:rsidRPr="00DE4F22">
        <w:rPr>
          <w:rFonts w:eastAsia="Georgia"/>
          <w:color w:val="000000"/>
        </w:rPr>
        <w:t>Naknada za uvoz supstanci koje</w:t>
      </w:r>
      <w:r w:rsidR="00721062" w:rsidRPr="00DE4F22">
        <w:rPr>
          <w:rFonts w:eastAsia="Georgia"/>
          <w:color w:val="000000"/>
        </w:rPr>
        <w:t xml:space="preserve"> </w:t>
      </w:r>
      <w:r w:rsidR="000269B2" w:rsidRPr="00DE4F22">
        <w:rPr>
          <w:rFonts w:eastAsia="Georgia"/>
          <w:color w:val="000000"/>
        </w:rPr>
        <w:t>ošte</w:t>
      </w:r>
      <w:r w:rsidR="00721062" w:rsidRPr="00DE4F22">
        <w:rPr>
          <w:rFonts w:eastAsia="Georgia"/>
          <w:color w:val="000000"/>
        </w:rPr>
        <w:t>ćuju</w:t>
      </w:r>
      <w:r w:rsidR="009C2EB0" w:rsidRPr="00DE4F22">
        <w:rPr>
          <w:rFonts w:eastAsia="Georgia"/>
          <w:color w:val="000000"/>
        </w:rPr>
        <w:t xml:space="preserve"> ozonski omotač, naknada za ispuštanje zagađujućih </w:t>
      </w:r>
      <w:r w:rsidRPr="00DE4F22">
        <w:rPr>
          <w:rFonts w:eastAsia="Georgia"/>
          <w:color w:val="000000"/>
        </w:rPr>
        <w:t xml:space="preserve">    </w:t>
      </w:r>
      <w:r w:rsidR="009C2EB0" w:rsidRPr="002C44E1">
        <w:rPr>
          <w:rFonts w:eastAsia="Georgia"/>
          <w:color w:val="000000"/>
        </w:rPr>
        <w:t xml:space="preserve">materija u vazduh i naknada za stvaranje </w:t>
      </w:r>
      <w:r w:rsidR="00A03DF6" w:rsidRPr="002C44E1">
        <w:rPr>
          <w:rFonts w:eastAsia="Georgia"/>
          <w:color w:val="000000"/>
        </w:rPr>
        <w:t xml:space="preserve">i deponovanje </w:t>
      </w:r>
      <w:r w:rsidR="009C2EB0" w:rsidRPr="002C44E1">
        <w:rPr>
          <w:rFonts w:eastAsia="Georgia"/>
          <w:color w:val="000000"/>
        </w:rPr>
        <w:t>opasnog otpada;</w:t>
      </w:r>
    </w:p>
    <w:p w14:paraId="005BE6BE" w14:textId="1130196C" w:rsidR="00D52A9B" w:rsidRPr="002C44E1" w:rsidRDefault="00D52A9B" w:rsidP="00812198">
      <w:pPr>
        <w:keepLines/>
        <w:pBdr>
          <w:top w:val="nil"/>
          <w:left w:val="nil"/>
          <w:bottom w:val="nil"/>
          <w:right w:val="nil"/>
          <w:between w:val="nil"/>
        </w:pBdr>
        <w:spacing w:before="60" w:after="60"/>
        <w:jc w:val="both"/>
        <w:rPr>
          <w:rFonts w:eastAsia="Georgia"/>
          <w:color w:val="000000"/>
        </w:rPr>
      </w:pPr>
      <w:r w:rsidRPr="002C44E1">
        <w:rPr>
          <w:rFonts w:eastAsia="Georgia"/>
          <w:color w:val="000000"/>
        </w:rPr>
        <w:t xml:space="preserve">Mjesečnim naknadama po osnovu izdatih rješenja od strane Agencije za zaštitu životne sredine </w:t>
      </w:r>
      <w:r w:rsidRPr="002C44E1">
        <w:rPr>
          <w:rFonts w:eastAsia="Georgia"/>
        </w:rPr>
        <w:t>u skladu sa članom 62 stav 11 Zakona o otpadu, prodavac lagane plastične kese za nošenje, debljine zida više od 50 mikrona, plaća naknadu. Sredstva od naknade uplaćuju se na račun Fonda za zaštitu životne sredine i mogu se koristiti samo za finansiranje i kofinansiranje aktivnosti podizanja svijesti i pružanja informacija javnosti i kampanja za štetnost upotrebe plastičnih kesa na životnu sredinu.</w:t>
      </w:r>
    </w:p>
    <w:p w14:paraId="785E5181" w14:textId="00467926" w:rsidR="001D6789" w:rsidRPr="002C44E1" w:rsidRDefault="001D6789" w:rsidP="00812198">
      <w:pPr>
        <w:keepLines/>
        <w:pBdr>
          <w:top w:val="nil"/>
          <w:left w:val="nil"/>
          <w:bottom w:val="nil"/>
          <w:right w:val="nil"/>
          <w:between w:val="nil"/>
        </w:pBdr>
        <w:spacing w:before="60"/>
        <w:jc w:val="both"/>
        <w:rPr>
          <w:rFonts w:eastAsia="Georgia"/>
        </w:rPr>
      </w:pPr>
      <w:r w:rsidRPr="002C44E1">
        <w:rPr>
          <w:color w:val="000000"/>
        </w:rPr>
        <w:t>Sredstv</w:t>
      </w:r>
      <w:r w:rsidR="00AD584E" w:rsidRPr="002C44E1">
        <w:rPr>
          <w:color w:val="000000"/>
        </w:rPr>
        <w:t>ima</w:t>
      </w:r>
      <w:r w:rsidRPr="002C44E1">
        <w:rPr>
          <w:color w:val="000000"/>
        </w:rPr>
        <w:t xml:space="preserve"> prikupljen</w:t>
      </w:r>
      <w:r w:rsidR="00AD584E" w:rsidRPr="002C44E1">
        <w:rPr>
          <w:color w:val="000000"/>
        </w:rPr>
        <w:t>im</w:t>
      </w:r>
      <w:r w:rsidRPr="002C44E1">
        <w:rPr>
          <w:color w:val="000000"/>
        </w:rPr>
        <w:t xml:space="preserve"> od emisionih kredita u skladu sa članom 3</w:t>
      </w:r>
      <w:r w:rsidR="009C2EB0" w:rsidRPr="002C44E1">
        <w:rPr>
          <w:rFonts w:eastAsia="Georgia"/>
          <w:color w:val="000000"/>
        </w:rPr>
        <w:t xml:space="preserve"> Uredbe o aktivnostima odnosno </w:t>
      </w:r>
      <w:r w:rsidR="008454D9" w:rsidRPr="002C44E1">
        <w:rPr>
          <w:rFonts w:eastAsia="Georgia"/>
          <w:color w:val="000000"/>
        </w:rPr>
        <w:t>djelatnost</w:t>
      </w:r>
      <w:r w:rsidR="009C2EB0" w:rsidRPr="002C44E1">
        <w:rPr>
          <w:rFonts w:eastAsia="Georgia"/>
          <w:color w:val="000000"/>
        </w:rPr>
        <w:t>ima koje emituju gasove sa efektom staklene bašte za koje se izdaje dozvola za emisiju gasova sa efektom staklene bašte</w:t>
      </w:r>
      <w:r w:rsidRPr="002C44E1">
        <w:rPr>
          <w:rFonts w:eastAsia="Georgia"/>
          <w:color w:val="000000"/>
        </w:rPr>
        <w:t>.</w:t>
      </w:r>
    </w:p>
    <w:p w14:paraId="5569AC8F" w14:textId="79D97512" w:rsidR="00C07A52" w:rsidRPr="00997784" w:rsidRDefault="00BC6D99" w:rsidP="00BC7D8B">
      <w:pPr>
        <w:jc w:val="both"/>
        <w:rPr>
          <w:rFonts w:eastAsia="Georgia"/>
        </w:rPr>
      </w:pPr>
      <w:r w:rsidRPr="002C44E1">
        <w:rPr>
          <w:rFonts w:eastAsia="Georgia"/>
        </w:rPr>
        <w:t>Ukupni planirani pr</w:t>
      </w:r>
      <w:r w:rsidR="00F63524" w:rsidRPr="002C44E1">
        <w:rPr>
          <w:rFonts w:eastAsia="Georgia"/>
        </w:rPr>
        <w:t>ilivi</w:t>
      </w:r>
      <w:r w:rsidRPr="002C44E1">
        <w:rPr>
          <w:rFonts w:eastAsia="Georgia"/>
        </w:rPr>
        <w:t xml:space="preserve"> </w:t>
      </w:r>
      <w:r w:rsidR="00CE0E99" w:rsidRPr="002C44E1">
        <w:rPr>
          <w:rFonts w:eastAsia="Georgia"/>
        </w:rPr>
        <w:t>Eko-fond</w:t>
      </w:r>
      <w:r w:rsidRPr="002C44E1">
        <w:rPr>
          <w:rFonts w:eastAsia="Georgia"/>
        </w:rPr>
        <w:t>a za 202</w:t>
      </w:r>
      <w:r w:rsidR="00C0183A" w:rsidRPr="002C44E1">
        <w:rPr>
          <w:rFonts w:eastAsia="Georgia"/>
        </w:rPr>
        <w:t>5</w:t>
      </w:r>
      <w:r w:rsidRPr="002C44E1">
        <w:rPr>
          <w:rFonts w:eastAsia="Georgia"/>
        </w:rPr>
        <w:t>. godinu po osnovu eko</w:t>
      </w:r>
      <w:r w:rsidR="0077448F" w:rsidRPr="002C44E1">
        <w:rPr>
          <w:rFonts w:eastAsia="Georgia"/>
        </w:rPr>
        <w:t>-</w:t>
      </w:r>
      <w:r w:rsidRPr="002C44E1">
        <w:rPr>
          <w:rFonts w:eastAsia="Georgia"/>
        </w:rPr>
        <w:t>naknada</w:t>
      </w:r>
      <w:r w:rsidR="00624192" w:rsidRPr="002C44E1">
        <w:rPr>
          <w:rFonts w:eastAsia="Georgia"/>
        </w:rPr>
        <w:t>,</w:t>
      </w:r>
      <w:r w:rsidR="001C60EB" w:rsidRPr="002C44E1">
        <w:rPr>
          <w:rFonts w:eastAsia="Georgia"/>
        </w:rPr>
        <w:t xml:space="preserve"> naknada za promet plastičnih kesa,</w:t>
      </w:r>
      <w:r w:rsidR="00624192" w:rsidRPr="002C44E1">
        <w:rPr>
          <w:rFonts w:eastAsia="Georgia"/>
        </w:rPr>
        <w:t xml:space="preserve"> </w:t>
      </w:r>
      <w:r w:rsidRPr="002C44E1">
        <w:rPr>
          <w:rFonts w:eastAsia="Georgia"/>
        </w:rPr>
        <w:t>po osnovu naknada od prodaje</w:t>
      </w:r>
      <w:r w:rsidR="00537800" w:rsidRPr="002C44E1">
        <w:rPr>
          <w:rFonts w:eastAsia="Georgia"/>
        </w:rPr>
        <w:t xml:space="preserve"> </w:t>
      </w:r>
      <w:r w:rsidRPr="002C44E1">
        <w:rPr>
          <w:rFonts w:eastAsia="Georgia"/>
        </w:rPr>
        <w:t>emisionih kredita putem Javne aukcije</w:t>
      </w:r>
      <w:r w:rsidR="0022020C" w:rsidRPr="002C44E1">
        <w:rPr>
          <w:rFonts w:eastAsia="Georgia"/>
        </w:rPr>
        <w:t>,</w:t>
      </w:r>
      <w:r w:rsidR="00624192" w:rsidRPr="002C44E1">
        <w:rPr>
          <w:rFonts w:eastAsia="Georgia"/>
        </w:rPr>
        <w:t xml:space="preserve"> </w:t>
      </w:r>
      <w:r w:rsidR="001C60EB" w:rsidRPr="002C44E1">
        <w:rPr>
          <w:rFonts w:eastAsia="Georgia"/>
        </w:rPr>
        <w:t>GEF-a, CMSR-a</w:t>
      </w:r>
      <w:r w:rsidR="00BC7D8B" w:rsidRPr="002C44E1">
        <w:rPr>
          <w:rFonts w:eastAsia="Georgia"/>
        </w:rPr>
        <w:t>,</w:t>
      </w:r>
      <w:r w:rsidR="00BC7D8B" w:rsidRPr="002C44E1">
        <w:rPr>
          <w:color w:val="000000"/>
        </w:rPr>
        <w:t xml:space="preserve"> </w:t>
      </w:r>
      <w:r w:rsidR="00BC7D8B" w:rsidRPr="002C44E1">
        <w:rPr>
          <w:rFonts w:eastAsia="Georgia"/>
        </w:rPr>
        <w:t xml:space="preserve">Danube Region Programme ESINERGY </w:t>
      </w:r>
      <w:r w:rsidR="00624192" w:rsidRPr="002C44E1">
        <w:rPr>
          <w:rFonts w:eastAsia="Georgia"/>
        </w:rPr>
        <w:t>i granta Zelenog klimatskog fonda</w:t>
      </w:r>
      <w:r w:rsidR="0022020C" w:rsidRPr="002C44E1">
        <w:rPr>
          <w:rFonts w:eastAsia="Georgia"/>
        </w:rPr>
        <w:t xml:space="preserve">, uključujući i prenijeto stanje iz prethodne poslovne godine </w:t>
      </w:r>
      <w:r w:rsidRPr="002C44E1">
        <w:rPr>
          <w:rFonts w:eastAsia="Georgia"/>
        </w:rPr>
        <w:t xml:space="preserve">iznose </w:t>
      </w:r>
      <w:r w:rsidR="001C60EB" w:rsidRPr="002C44E1">
        <w:rPr>
          <w:b/>
          <w:bCs/>
          <w:color w:val="000000"/>
        </w:rPr>
        <w:t>40</w:t>
      </w:r>
      <w:r w:rsidR="00FA0BDB">
        <w:rPr>
          <w:b/>
          <w:bCs/>
          <w:color w:val="000000"/>
        </w:rPr>
        <w:t>.</w:t>
      </w:r>
      <w:r w:rsidR="00BC7D8B" w:rsidRPr="002C44E1">
        <w:rPr>
          <w:b/>
          <w:bCs/>
          <w:color w:val="000000"/>
        </w:rPr>
        <w:t>510</w:t>
      </w:r>
      <w:r w:rsidR="00FA0BDB">
        <w:rPr>
          <w:b/>
          <w:bCs/>
          <w:color w:val="000000"/>
        </w:rPr>
        <w:t>.</w:t>
      </w:r>
      <w:r w:rsidR="00BC7D8B" w:rsidRPr="00997784">
        <w:rPr>
          <w:b/>
          <w:bCs/>
          <w:color w:val="000000"/>
        </w:rPr>
        <w:t>794</w:t>
      </w:r>
      <w:r w:rsidR="00FA0BDB">
        <w:rPr>
          <w:b/>
          <w:bCs/>
          <w:color w:val="000000"/>
        </w:rPr>
        <w:t>,</w:t>
      </w:r>
      <w:r w:rsidR="001C60EB" w:rsidRPr="00997784">
        <w:rPr>
          <w:b/>
          <w:bCs/>
          <w:color w:val="000000"/>
        </w:rPr>
        <w:t xml:space="preserve">00 €. </w:t>
      </w:r>
      <w:r w:rsidRPr="00997784">
        <w:rPr>
          <w:rFonts w:eastAsia="Georgia"/>
        </w:rPr>
        <w:t>U narednoj tabeli da</w:t>
      </w:r>
      <w:r w:rsidR="00F63524" w:rsidRPr="00997784">
        <w:rPr>
          <w:rFonts w:eastAsia="Georgia"/>
        </w:rPr>
        <w:t>t</w:t>
      </w:r>
      <w:r w:rsidRPr="00997784">
        <w:rPr>
          <w:rFonts w:eastAsia="Georgia"/>
        </w:rPr>
        <w:t xml:space="preserve"> je prikaz planir</w:t>
      </w:r>
      <w:r w:rsidR="00F63524" w:rsidRPr="00997784">
        <w:rPr>
          <w:rFonts w:eastAsia="Georgia"/>
        </w:rPr>
        <w:t>anih priliva u 202</w:t>
      </w:r>
      <w:r w:rsidR="00C0183A" w:rsidRPr="00997784">
        <w:rPr>
          <w:rFonts w:eastAsia="Georgia"/>
        </w:rPr>
        <w:t>5</w:t>
      </w:r>
      <w:r w:rsidR="00F63524" w:rsidRPr="00997784">
        <w:rPr>
          <w:rFonts w:eastAsia="Georgia"/>
        </w:rPr>
        <w:t>.</w:t>
      </w:r>
      <w:r w:rsidR="007E4D5B" w:rsidRPr="00997784">
        <w:rPr>
          <w:rFonts w:eastAsia="Georgia"/>
        </w:rPr>
        <w:t xml:space="preserve"> godini</w:t>
      </w:r>
      <w:r w:rsidR="001D0461" w:rsidRPr="00997784">
        <w:rPr>
          <w:rFonts w:eastAsia="Georgia"/>
        </w:rPr>
        <w:t>.</w:t>
      </w:r>
      <w:r w:rsidR="00331A32" w:rsidRPr="00997784">
        <w:rPr>
          <w:rFonts w:eastAsia="Georgia"/>
        </w:rPr>
        <w:t xml:space="preserve"> </w:t>
      </w:r>
    </w:p>
    <w:p w14:paraId="2DA3833C" w14:textId="77777777" w:rsidR="00EC31C5" w:rsidRDefault="00EC31C5" w:rsidP="00DB63FA">
      <w:pPr>
        <w:keepLines/>
        <w:pBdr>
          <w:top w:val="nil"/>
          <w:left w:val="nil"/>
          <w:bottom w:val="nil"/>
          <w:right w:val="nil"/>
          <w:between w:val="nil"/>
        </w:pBdr>
        <w:spacing w:before="60"/>
        <w:jc w:val="both"/>
        <w:rPr>
          <w:rFonts w:eastAsia="Georgia"/>
        </w:rPr>
      </w:pPr>
    </w:p>
    <w:p w14:paraId="76685F4D" w14:textId="77777777" w:rsidR="00EC31C5" w:rsidRDefault="00EC31C5" w:rsidP="00DB63FA">
      <w:pPr>
        <w:keepLines/>
        <w:pBdr>
          <w:top w:val="nil"/>
          <w:left w:val="nil"/>
          <w:bottom w:val="nil"/>
          <w:right w:val="nil"/>
          <w:between w:val="nil"/>
        </w:pBdr>
        <w:spacing w:before="60"/>
        <w:jc w:val="both"/>
        <w:rPr>
          <w:rFonts w:eastAsia="Georgia"/>
        </w:rPr>
      </w:pPr>
    </w:p>
    <w:p w14:paraId="7FDCBA17" w14:textId="77777777" w:rsidR="00EC31C5" w:rsidRDefault="00EC31C5" w:rsidP="00DB63FA">
      <w:pPr>
        <w:keepLines/>
        <w:pBdr>
          <w:top w:val="nil"/>
          <w:left w:val="nil"/>
          <w:bottom w:val="nil"/>
          <w:right w:val="nil"/>
          <w:between w:val="nil"/>
        </w:pBdr>
        <w:spacing w:before="60"/>
        <w:jc w:val="both"/>
        <w:rPr>
          <w:rFonts w:eastAsia="Georgia"/>
        </w:rPr>
      </w:pPr>
    </w:p>
    <w:p w14:paraId="7EFB6709" w14:textId="77777777" w:rsidR="00EC31C5" w:rsidRDefault="00EC31C5" w:rsidP="00DB63FA">
      <w:pPr>
        <w:keepLines/>
        <w:pBdr>
          <w:top w:val="nil"/>
          <w:left w:val="nil"/>
          <w:bottom w:val="nil"/>
          <w:right w:val="nil"/>
          <w:between w:val="nil"/>
        </w:pBdr>
        <w:spacing w:before="60"/>
        <w:jc w:val="both"/>
        <w:rPr>
          <w:rFonts w:eastAsia="Georgia"/>
        </w:rPr>
      </w:pPr>
    </w:p>
    <w:p w14:paraId="3A08301D" w14:textId="77777777" w:rsidR="00EC31C5" w:rsidRDefault="00EC31C5" w:rsidP="00DB63FA">
      <w:pPr>
        <w:keepLines/>
        <w:pBdr>
          <w:top w:val="nil"/>
          <w:left w:val="nil"/>
          <w:bottom w:val="nil"/>
          <w:right w:val="nil"/>
          <w:between w:val="nil"/>
        </w:pBdr>
        <w:spacing w:before="60"/>
        <w:jc w:val="both"/>
        <w:rPr>
          <w:rFonts w:eastAsia="Georgia"/>
        </w:rPr>
      </w:pPr>
    </w:p>
    <w:p w14:paraId="67E0C2D9" w14:textId="77777777" w:rsidR="00EC31C5" w:rsidRDefault="00EC31C5" w:rsidP="00DB63FA">
      <w:pPr>
        <w:keepLines/>
        <w:pBdr>
          <w:top w:val="nil"/>
          <w:left w:val="nil"/>
          <w:bottom w:val="nil"/>
          <w:right w:val="nil"/>
          <w:between w:val="nil"/>
        </w:pBdr>
        <w:spacing w:before="60"/>
        <w:jc w:val="both"/>
        <w:rPr>
          <w:rFonts w:eastAsia="Georgia"/>
        </w:rPr>
      </w:pPr>
    </w:p>
    <w:p w14:paraId="783037A3" w14:textId="77777777" w:rsidR="00EC31C5" w:rsidRDefault="00EC31C5" w:rsidP="00DB63FA">
      <w:pPr>
        <w:keepLines/>
        <w:pBdr>
          <w:top w:val="nil"/>
          <w:left w:val="nil"/>
          <w:bottom w:val="nil"/>
          <w:right w:val="nil"/>
          <w:between w:val="nil"/>
        </w:pBdr>
        <w:spacing w:before="60"/>
        <w:jc w:val="both"/>
        <w:rPr>
          <w:rFonts w:eastAsia="Georgia"/>
        </w:rPr>
      </w:pPr>
    </w:p>
    <w:p w14:paraId="059BBFB9" w14:textId="77777777" w:rsidR="00EC31C5" w:rsidRDefault="00EC31C5" w:rsidP="00DB63FA">
      <w:pPr>
        <w:keepLines/>
        <w:pBdr>
          <w:top w:val="nil"/>
          <w:left w:val="nil"/>
          <w:bottom w:val="nil"/>
          <w:right w:val="nil"/>
          <w:between w:val="nil"/>
        </w:pBdr>
        <w:spacing w:before="60"/>
        <w:jc w:val="both"/>
        <w:rPr>
          <w:rFonts w:eastAsia="Georgia"/>
        </w:rPr>
      </w:pPr>
    </w:p>
    <w:p w14:paraId="5C7DC601" w14:textId="77777777" w:rsidR="00EC31C5" w:rsidRDefault="00EC31C5" w:rsidP="00DB63FA">
      <w:pPr>
        <w:keepLines/>
        <w:pBdr>
          <w:top w:val="nil"/>
          <w:left w:val="nil"/>
          <w:bottom w:val="nil"/>
          <w:right w:val="nil"/>
          <w:between w:val="nil"/>
        </w:pBdr>
        <w:spacing w:before="60"/>
        <w:jc w:val="both"/>
        <w:rPr>
          <w:rFonts w:eastAsia="Georgia"/>
        </w:rPr>
      </w:pPr>
    </w:p>
    <w:p w14:paraId="133A35DB" w14:textId="77777777" w:rsidR="00EC31C5" w:rsidRDefault="00EC31C5" w:rsidP="00DB63FA">
      <w:pPr>
        <w:keepLines/>
        <w:pBdr>
          <w:top w:val="nil"/>
          <w:left w:val="nil"/>
          <w:bottom w:val="nil"/>
          <w:right w:val="nil"/>
          <w:between w:val="nil"/>
        </w:pBdr>
        <w:spacing w:before="60"/>
        <w:jc w:val="both"/>
        <w:rPr>
          <w:rFonts w:eastAsia="Georgia"/>
        </w:rPr>
      </w:pPr>
    </w:p>
    <w:p w14:paraId="59F90FA1" w14:textId="77777777" w:rsidR="00EC31C5" w:rsidRDefault="00EC31C5" w:rsidP="00DB63FA">
      <w:pPr>
        <w:keepLines/>
        <w:pBdr>
          <w:top w:val="nil"/>
          <w:left w:val="nil"/>
          <w:bottom w:val="nil"/>
          <w:right w:val="nil"/>
          <w:between w:val="nil"/>
        </w:pBdr>
        <w:spacing w:before="60"/>
        <w:jc w:val="both"/>
        <w:rPr>
          <w:rFonts w:eastAsia="Georgia"/>
        </w:rPr>
      </w:pPr>
    </w:p>
    <w:p w14:paraId="2BB9B060" w14:textId="77777777" w:rsidR="00EC31C5" w:rsidRDefault="00EC31C5" w:rsidP="00DB63FA">
      <w:pPr>
        <w:keepLines/>
        <w:pBdr>
          <w:top w:val="nil"/>
          <w:left w:val="nil"/>
          <w:bottom w:val="nil"/>
          <w:right w:val="nil"/>
          <w:between w:val="nil"/>
        </w:pBdr>
        <w:spacing w:before="60"/>
        <w:jc w:val="both"/>
        <w:rPr>
          <w:rFonts w:eastAsia="Georgia"/>
        </w:rPr>
      </w:pPr>
    </w:p>
    <w:p w14:paraId="3AD2B89A" w14:textId="77777777" w:rsidR="00EC31C5" w:rsidRDefault="00EC31C5" w:rsidP="00DB63FA">
      <w:pPr>
        <w:keepLines/>
        <w:pBdr>
          <w:top w:val="nil"/>
          <w:left w:val="nil"/>
          <w:bottom w:val="nil"/>
          <w:right w:val="nil"/>
          <w:between w:val="nil"/>
        </w:pBdr>
        <w:spacing w:before="60"/>
        <w:jc w:val="both"/>
        <w:rPr>
          <w:rFonts w:eastAsia="Georgia"/>
        </w:rPr>
      </w:pPr>
    </w:p>
    <w:p w14:paraId="53F5D59B" w14:textId="77777777" w:rsidR="00EC31C5" w:rsidRDefault="00EC31C5" w:rsidP="00DB63FA">
      <w:pPr>
        <w:keepLines/>
        <w:pBdr>
          <w:top w:val="nil"/>
          <w:left w:val="nil"/>
          <w:bottom w:val="nil"/>
          <w:right w:val="nil"/>
          <w:between w:val="nil"/>
        </w:pBdr>
        <w:spacing w:before="60"/>
        <w:jc w:val="both"/>
        <w:rPr>
          <w:rFonts w:eastAsia="Georgia"/>
        </w:rPr>
      </w:pPr>
    </w:p>
    <w:p w14:paraId="2A78E14D" w14:textId="77777777" w:rsidR="00EC31C5" w:rsidRDefault="00EC31C5" w:rsidP="00DB63FA">
      <w:pPr>
        <w:keepLines/>
        <w:pBdr>
          <w:top w:val="nil"/>
          <w:left w:val="nil"/>
          <w:bottom w:val="nil"/>
          <w:right w:val="nil"/>
          <w:between w:val="nil"/>
        </w:pBdr>
        <w:spacing w:before="60"/>
        <w:jc w:val="both"/>
        <w:rPr>
          <w:rFonts w:eastAsia="Georgia"/>
        </w:rPr>
      </w:pPr>
    </w:p>
    <w:p w14:paraId="066C6C80" w14:textId="77777777" w:rsidR="00EC31C5" w:rsidRDefault="00EC31C5" w:rsidP="00DB63FA">
      <w:pPr>
        <w:keepLines/>
        <w:pBdr>
          <w:top w:val="nil"/>
          <w:left w:val="nil"/>
          <w:bottom w:val="nil"/>
          <w:right w:val="nil"/>
          <w:between w:val="nil"/>
        </w:pBdr>
        <w:spacing w:before="60"/>
        <w:jc w:val="both"/>
        <w:rPr>
          <w:rFonts w:eastAsia="Georgia"/>
        </w:rPr>
      </w:pPr>
    </w:p>
    <w:p w14:paraId="5A1B67BC" w14:textId="77777777" w:rsidR="00EC31C5" w:rsidRDefault="00EC31C5" w:rsidP="00DB63FA">
      <w:pPr>
        <w:keepLines/>
        <w:pBdr>
          <w:top w:val="nil"/>
          <w:left w:val="nil"/>
          <w:bottom w:val="nil"/>
          <w:right w:val="nil"/>
          <w:between w:val="nil"/>
        </w:pBdr>
        <w:spacing w:before="60"/>
        <w:jc w:val="both"/>
        <w:rPr>
          <w:rFonts w:eastAsia="Georgia"/>
        </w:rPr>
      </w:pPr>
    </w:p>
    <w:p w14:paraId="66183E9B" w14:textId="77777777" w:rsidR="00EC31C5" w:rsidRDefault="00EC31C5" w:rsidP="00DB63FA">
      <w:pPr>
        <w:keepLines/>
        <w:pBdr>
          <w:top w:val="nil"/>
          <w:left w:val="nil"/>
          <w:bottom w:val="nil"/>
          <w:right w:val="nil"/>
          <w:between w:val="nil"/>
        </w:pBdr>
        <w:spacing w:before="60"/>
        <w:jc w:val="both"/>
        <w:rPr>
          <w:rFonts w:eastAsia="Georgia"/>
        </w:rPr>
      </w:pPr>
    </w:p>
    <w:p w14:paraId="2561598B" w14:textId="77777777" w:rsidR="00EC31C5" w:rsidRDefault="00EC31C5" w:rsidP="00DB63FA">
      <w:pPr>
        <w:keepLines/>
        <w:pBdr>
          <w:top w:val="nil"/>
          <w:left w:val="nil"/>
          <w:bottom w:val="nil"/>
          <w:right w:val="nil"/>
          <w:between w:val="nil"/>
        </w:pBdr>
        <w:spacing w:before="60"/>
        <w:jc w:val="both"/>
        <w:rPr>
          <w:rFonts w:eastAsia="Georgia"/>
        </w:rPr>
      </w:pPr>
    </w:p>
    <w:p w14:paraId="3B73CF91" w14:textId="77777777" w:rsidR="001C60EB" w:rsidRDefault="001C60EB" w:rsidP="00DB63FA">
      <w:pPr>
        <w:keepLines/>
        <w:pBdr>
          <w:top w:val="nil"/>
          <w:left w:val="nil"/>
          <w:bottom w:val="nil"/>
          <w:right w:val="nil"/>
          <w:between w:val="nil"/>
        </w:pBdr>
        <w:spacing w:before="60"/>
        <w:jc w:val="both"/>
        <w:rPr>
          <w:rFonts w:eastAsia="Georgia"/>
        </w:rPr>
      </w:pPr>
    </w:p>
    <w:tbl>
      <w:tblPr>
        <w:tblpPr w:leftFromText="180" w:rightFromText="180" w:horzAnchor="page" w:tblpXSpec="center" w:tblpY="-495"/>
        <w:tblW w:w="11282" w:type="dxa"/>
        <w:tblLook w:val="04A0" w:firstRow="1" w:lastRow="0" w:firstColumn="1" w:lastColumn="0" w:noHBand="0" w:noVBand="1"/>
      </w:tblPr>
      <w:tblGrid>
        <w:gridCol w:w="785"/>
        <w:gridCol w:w="1837"/>
        <w:gridCol w:w="1667"/>
        <w:gridCol w:w="1667"/>
        <w:gridCol w:w="1581"/>
        <w:gridCol w:w="3745"/>
      </w:tblGrid>
      <w:tr w:rsidR="001C60EB" w14:paraId="528BFF62" w14:textId="77777777" w:rsidTr="00F01C67">
        <w:trPr>
          <w:trHeight w:val="258"/>
        </w:trPr>
        <w:tc>
          <w:tcPr>
            <w:tcW w:w="2622" w:type="dxa"/>
            <w:gridSpan w:val="2"/>
            <w:tcBorders>
              <w:top w:val="single" w:sz="8" w:space="0" w:color="auto"/>
              <w:left w:val="single" w:sz="8" w:space="0" w:color="auto"/>
              <w:bottom w:val="nil"/>
              <w:right w:val="nil"/>
            </w:tcBorders>
            <w:shd w:val="clear" w:color="auto" w:fill="auto"/>
            <w:vAlign w:val="bottom"/>
            <w:hideMark/>
          </w:tcPr>
          <w:p w14:paraId="3709C749" w14:textId="4D87B1A1" w:rsidR="001C60EB" w:rsidRDefault="001C60EB" w:rsidP="002E5AC9">
            <w:pPr>
              <w:rPr>
                <w:rFonts w:ascii="Calibri" w:hAnsi="Calibri" w:cs="Calibri"/>
                <w:color w:val="000000"/>
              </w:rPr>
            </w:pPr>
            <w:r>
              <w:rPr>
                <w:rFonts w:ascii="Calibri" w:hAnsi="Calibri" w:cs="Calibri"/>
                <w:color w:val="000000"/>
              </w:rPr>
              <w:lastRenderedPageBreak/>
              <w:t>Tabela 1: Pregled prihoda</w:t>
            </w:r>
            <w:r>
              <w:rPr>
                <w:rStyle w:val="FootnoteReference"/>
                <w:rFonts w:ascii="Calibri" w:hAnsi="Calibri" w:cs="Calibri"/>
                <w:color w:val="000000"/>
              </w:rPr>
              <w:footnoteReference w:id="1"/>
            </w:r>
          </w:p>
        </w:tc>
        <w:tc>
          <w:tcPr>
            <w:tcW w:w="1667" w:type="dxa"/>
            <w:tcBorders>
              <w:top w:val="single" w:sz="8" w:space="0" w:color="auto"/>
              <w:left w:val="nil"/>
              <w:bottom w:val="nil"/>
              <w:right w:val="nil"/>
            </w:tcBorders>
            <w:shd w:val="clear" w:color="auto" w:fill="auto"/>
            <w:vAlign w:val="bottom"/>
            <w:hideMark/>
          </w:tcPr>
          <w:p w14:paraId="0D2F0E2B" w14:textId="77777777" w:rsidR="001C60EB" w:rsidRDefault="001C60EB" w:rsidP="002E5AC9">
            <w:pPr>
              <w:rPr>
                <w:rFonts w:ascii="Calibri" w:hAnsi="Calibri" w:cs="Calibri"/>
                <w:color w:val="000000"/>
              </w:rPr>
            </w:pPr>
            <w:r>
              <w:rPr>
                <w:rFonts w:ascii="Calibri" w:hAnsi="Calibri" w:cs="Calibri"/>
                <w:color w:val="000000"/>
              </w:rPr>
              <w:t> </w:t>
            </w:r>
          </w:p>
        </w:tc>
        <w:tc>
          <w:tcPr>
            <w:tcW w:w="1667" w:type="dxa"/>
            <w:tcBorders>
              <w:top w:val="single" w:sz="8" w:space="0" w:color="auto"/>
              <w:left w:val="nil"/>
              <w:bottom w:val="nil"/>
              <w:right w:val="nil"/>
            </w:tcBorders>
            <w:shd w:val="clear" w:color="auto" w:fill="auto"/>
            <w:vAlign w:val="bottom"/>
            <w:hideMark/>
          </w:tcPr>
          <w:p w14:paraId="613F4882" w14:textId="77777777" w:rsidR="001C60EB" w:rsidRDefault="001C60EB" w:rsidP="002E5AC9">
            <w:pPr>
              <w:rPr>
                <w:rFonts w:ascii="Calibri" w:hAnsi="Calibri" w:cs="Calibri"/>
                <w:color w:val="000000"/>
              </w:rPr>
            </w:pPr>
            <w:r>
              <w:rPr>
                <w:rFonts w:ascii="Calibri" w:hAnsi="Calibri" w:cs="Calibri"/>
                <w:color w:val="000000"/>
              </w:rPr>
              <w:t> </w:t>
            </w:r>
          </w:p>
        </w:tc>
        <w:tc>
          <w:tcPr>
            <w:tcW w:w="1581" w:type="dxa"/>
            <w:tcBorders>
              <w:top w:val="single" w:sz="8" w:space="0" w:color="auto"/>
              <w:left w:val="nil"/>
              <w:bottom w:val="nil"/>
              <w:right w:val="nil"/>
            </w:tcBorders>
            <w:shd w:val="clear" w:color="auto" w:fill="auto"/>
            <w:noWrap/>
            <w:vAlign w:val="bottom"/>
            <w:hideMark/>
          </w:tcPr>
          <w:p w14:paraId="53CD889B" w14:textId="77777777" w:rsidR="001C60EB" w:rsidRDefault="001C60EB" w:rsidP="002E5AC9">
            <w:pPr>
              <w:rPr>
                <w:rFonts w:ascii="Calibri" w:hAnsi="Calibri" w:cs="Calibri"/>
                <w:color w:val="000000"/>
              </w:rPr>
            </w:pPr>
            <w:r>
              <w:rPr>
                <w:rFonts w:ascii="Calibri" w:hAnsi="Calibri" w:cs="Calibri"/>
                <w:color w:val="000000"/>
              </w:rPr>
              <w:t> </w:t>
            </w:r>
          </w:p>
        </w:tc>
        <w:tc>
          <w:tcPr>
            <w:tcW w:w="3745" w:type="dxa"/>
            <w:tcBorders>
              <w:top w:val="single" w:sz="8" w:space="0" w:color="auto"/>
              <w:left w:val="nil"/>
              <w:bottom w:val="nil"/>
              <w:right w:val="single" w:sz="8" w:space="0" w:color="auto"/>
            </w:tcBorders>
            <w:shd w:val="clear" w:color="auto" w:fill="auto"/>
            <w:vAlign w:val="bottom"/>
            <w:hideMark/>
          </w:tcPr>
          <w:p w14:paraId="0EFE72EF" w14:textId="77777777" w:rsidR="001C60EB" w:rsidRDefault="001C60EB" w:rsidP="002E5AC9">
            <w:pPr>
              <w:rPr>
                <w:rFonts w:ascii="Calibri" w:hAnsi="Calibri" w:cs="Calibri"/>
                <w:color w:val="000000"/>
              </w:rPr>
            </w:pPr>
            <w:r>
              <w:rPr>
                <w:rFonts w:ascii="Calibri" w:hAnsi="Calibri" w:cs="Calibri"/>
                <w:color w:val="000000"/>
              </w:rPr>
              <w:t> </w:t>
            </w:r>
          </w:p>
        </w:tc>
      </w:tr>
      <w:tr w:rsidR="001C60EB" w14:paraId="236A7F31" w14:textId="77777777" w:rsidTr="00F01C67">
        <w:trPr>
          <w:trHeight w:val="510"/>
        </w:trPr>
        <w:tc>
          <w:tcPr>
            <w:tcW w:w="785" w:type="dxa"/>
            <w:tcBorders>
              <w:top w:val="single" w:sz="8" w:space="0" w:color="auto"/>
              <w:left w:val="single" w:sz="8" w:space="0" w:color="auto"/>
              <w:bottom w:val="single" w:sz="8" w:space="0" w:color="auto"/>
              <w:right w:val="single" w:sz="4" w:space="0" w:color="auto"/>
            </w:tcBorders>
            <w:shd w:val="clear" w:color="000000" w:fill="D9D9D9"/>
            <w:vAlign w:val="bottom"/>
            <w:hideMark/>
          </w:tcPr>
          <w:p w14:paraId="5FD13428" w14:textId="77777777" w:rsidR="001C60EB" w:rsidRDefault="001C60EB" w:rsidP="002E5AC9">
            <w:pPr>
              <w:rPr>
                <w:rFonts w:ascii="Calibri" w:hAnsi="Calibri" w:cs="Calibri"/>
                <w:b/>
                <w:bCs/>
                <w:color w:val="000000"/>
              </w:rPr>
            </w:pPr>
            <w:r>
              <w:rPr>
                <w:rFonts w:ascii="Calibri" w:hAnsi="Calibri" w:cs="Calibri"/>
                <w:b/>
                <w:bCs/>
                <w:color w:val="000000"/>
              </w:rPr>
              <w:t> </w:t>
            </w:r>
          </w:p>
        </w:tc>
        <w:tc>
          <w:tcPr>
            <w:tcW w:w="1836" w:type="dxa"/>
            <w:tcBorders>
              <w:top w:val="single" w:sz="8" w:space="0" w:color="auto"/>
              <w:left w:val="nil"/>
              <w:bottom w:val="single" w:sz="8" w:space="0" w:color="auto"/>
              <w:right w:val="single" w:sz="4" w:space="0" w:color="auto"/>
            </w:tcBorders>
            <w:shd w:val="clear" w:color="000000" w:fill="D9D9D9"/>
            <w:vAlign w:val="center"/>
            <w:hideMark/>
          </w:tcPr>
          <w:p w14:paraId="77CACF66" w14:textId="77777777" w:rsidR="001C60EB" w:rsidRPr="00997784" w:rsidRDefault="001C60EB" w:rsidP="002E5AC9">
            <w:pPr>
              <w:jc w:val="center"/>
              <w:rPr>
                <w:b/>
                <w:bCs/>
                <w:color w:val="000000"/>
              </w:rPr>
            </w:pPr>
            <w:r w:rsidRPr="00997784">
              <w:rPr>
                <w:b/>
                <w:bCs/>
                <w:color w:val="000000"/>
              </w:rPr>
              <w:t>PRIHODI</w:t>
            </w:r>
          </w:p>
        </w:tc>
        <w:tc>
          <w:tcPr>
            <w:tcW w:w="1667" w:type="dxa"/>
            <w:tcBorders>
              <w:top w:val="single" w:sz="8" w:space="0" w:color="auto"/>
              <w:left w:val="nil"/>
              <w:bottom w:val="single" w:sz="8" w:space="0" w:color="auto"/>
              <w:right w:val="single" w:sz="4" w:space="0" w:color="auto"/>
            </w:tcBorders>
            <w:shd w:val="clear" w:color="000000" w:fill="D9D9D9"/>
            <w:vAlign w:val="center"/>
            <w:hideMark/>
          </w:tcPr>
          <w:p w14:paraId="3A837956" w14:textId="77777777" w:rsidR="001C60EB" w:rsidRPr="00997784" w:rsidRDefault="001C60EB" w:rsidP="002E5AC9">
            <w:pPr>
              <w:jc w:val="center"/>
              <w:rPr>
                <w:b/>
                <w:bCs/>
                <w:color w:val="000000"/>
              </w:rPr>
            </w:pPr>
            <w:r w:rsidRPr="00997784">
              <w:rPr>
                <w:b/>
                <w:bCs/>
                <w:color w:val="000000"/>
              </w:rPr>
              <w:t>Ostvareni prilivi u 2024. godini</w:t>
            </w:r>
          </w:p>
        </w:tc>
        <w:tc>
          <w:tcPr>
            <w:tcW w:w="1667" w:type="dxa"/>
            <w:tcBorders>
              <w:top w:val="single" w:sz="8" w:space="0" w:color="auto"/>
              <w:left w:val="nil"/>
              <w:bottom w:val="single" w:sz="8" w:space="0" w:color="auto"/>
              <w:right w:val="single" w:sz="4" w:space="0" w:color="auto"/>
            </w:tcBorders>
            <w:shd w:val="clear" w:color="000000" w:fill="D9D9D9"/>
            <w:vAlign w:val="center"/>
            <w:hideMark/>
          </w:tcPr>
          <w:p w14:paraId="60D2A6B1" w14:textId="77777777" w:rsidR="001C60EB" w:rsidRPr="00997784" w:rsidRDefault="001C60EB" w:rsidP="002E5AC9">
            <w:pPr>
              <w:jc w:val="center"/>
              <w:rPr>
                <w:b/>
                <w:bCs/>
                <w:color w:val="000000"/>
              </w:rPr>
            </w:pPr>
            <w:r w:rsidRPr="00997784">
              <w:rPr>
                <w:b/>
                <w:bCs/>
                <w:color w:val="000000"/>
              </w:rPr>
              <w:t xml:space="preserve">Izdata rješenja u 2024. godini </w:t>
            </w:r>
          </w:p>
        </w:tc>
        <w:tc>
          <w:tcPr>
            <w:tcW w:w="1581" w:type="dxa"/>
            <w:tcBorders>
              <w:top w:val="single" w:sz="8" w:space="0" w:color="auto"/>
              <w:left w:val="nil"/>
              <w:bottom w:val="single" w:sz="8" w:space="0" w:color="auto"/>
              <w:right w:val="single" w:sz="4" w:space="0" w:color="auto"/>
            </w:tcBorders>
            <w:shd w:val="clear" w:color="000000" w:fill="D9D9D9"/>
            <w:vAlign w:val="center"/>
            <w:hideMark/>
          </w:tcPr>
          <w:p w14:paraId="0C51B4F6" w14:textId="77777777" w:rsidR="001C60EB" w:rsidRPr="00997784" w:rsidRDefault="001C60EB" w:rsidP="002E5AC9">
            <w:pPr>
              <w:jc w:val="center"/>
              <w:rPr>
                <w:b/>
                <w:bCs/>
                <w:color w:val="000000"/>
              </w:rPr>
            </w:pPr>
            <w:r w:rsidRPr="00997784">
              <w:rPr>
                <w:b/>
                <w:bCs/>
                <w:color w:val="000000"/>
              </w:rPr>
              <w:t>Potraživanja 31.12.2024.</w:t>
            </w:r>
          </w:p>
        </w:tc>
        <w:tc>
          <w:tcPr>
            <w:tcW w:w="3745" w:type="dxa"/>
            <w:tcBorders>
              <w:top w:val="single" w:sz="8" w:space="0" w:color="auto"/>
              <w:left w:val="nil"/>
              <w:bottom w:val="single" w:sz="8" w:space="0" w:color="auto"/>
              <w:right w:val="single" w:sz="8" w:space="0" w:color="auto"/>
            </w:tcBorders>
            <w:shd w:val="clear" w:color="000000" w:fill="D9D9D9"/>
            <w:vAlign w:val="center"/>
            <w:hideMark/>
          </w:tcPr>
          <w:p w14:paraId="359800FB" w14:textId="77777777" w:rsidR="001C60EB" w:rsidRPr="00997784" w:rsidRDefault="001C60EB" w:rsidP="002E5AC9">
            <w:pPr>
              <w:jc w:val="center"/>
              <w:rPr>
                <w:b/>
                <w:bCs/>
                <w:color w:val="000000"/>
              </w:rPr>
            </w:pPr>
            <w:r w:rsidRPr="00997784">
              <w:rPr>
                <w:b/>
                <w:bCs/>
                <w:color w:val="000000"/>
              </w:rPr>
              <w:t>Planirani prilivi u 2025. godini</w:t>
            </w:r>
          </w:p>
        </w:tc>
      </w:tr>
      <w:tr w:rsidR="001C60EB" w14:paraId="0B136B85" w14:textId="77777777" w:rsidTr="00F01C67">
        <w:trPr>
          <w:trHeight w:val="315"/>
        </w:trPr>
        <w:tc>
          <w:tcPr>
            <w:tcW w:w="785" w:type="dxa"/>
            <w:tcBorders>
              <w:top w:val="nil"/>
              <w:left w:val="single" w:sz="8" w:space="0" w:color="auto"/>
              <w:bottom w:val="single" w:sz="4" w:space="0" w:color="auto"/>
              <w:right w:val="single" w:sz="4" w:space="0" w:color="auto"/>
            </w:tcBorders>
            <w:shd w:val="clear" w:color="000000" w:fill="F2F2F2"/>
            <w:vAlign w:val="bottom"/>
            <w:hideMark/>
          </w:tcPr>
          <w:p w14:paraId="479E44C1" w14:textId="77777777" w:rsidR="001C60EB" w:rsidRDefault="001C60EB" w:rsidP="002E5AC9">
            <w:pPr>
              <w:rPr>
                <w:rFonts w:ascii="Calibri" w:hAnsi="Calibri" w:cs="Calibri"/>
                <w:color w:val="000000"/>
              </w:rPr>
            </w:pPr>
            <w:r>
              <w:rPr>
                <w:rFonts w:ascii="Calibri" w:hAnsi="Calibri" w:cs="Calibri"/>
                <w:color w:val="000000"/>
              </w:rPr>
              <w:t>1.1.</w:t>
            </w:r>
          </w:p>
        </w:tc>
        <w:tc>
          <w:tcPr>
            <w:tcW w:w="1836" w:type="dxa"/>
            <w:tcBorders>
              <w:top w:val="nil"/>
              <w:left w:val="nil"/>
              <w:bottom w:val="single" w:sz="4" w:space="0" w:color="auto"/>
              <w:right w:val="single" w:sz="4" w:space="0" w:color="auto"/>
            </w:tcBorders>
            <w:shd w:val="clear" w:color="000000" w:fill="F2F2F2"/>
            <w:vAlign w:val="bottom"/>
            <w:hideMark/>
          </w:tcPr>
          <w:p w14:paraId="1DC084AB" w14:textId="77777777" w:rsidR="001C60EB" w:rsidRPr="00997784" w:rsidRDefault="001C60EB" w:rsidP="002E5AC9">
            <w:pPr>
              <w:rPr>
                <w:color w:val="000000"/>
                <w:sz w:val="20"/>
                <w:szCs w:val="20"/>
              </w:rPr>
            </w:pPr>
            <w:r w:rsidRPr="00997784">
              <w:rPr>
                <w:color w:val="000000"/>
                <w:sz w:val="20"/>
                <w:szCs w:val="20"/>
              </w:rPr>
              <w:t>Prihodi po osnovu eko-naknada</w:t>
            </w:r>
          </w:p>
        </w:tc>
        <w:tc>
          <w:tcPr>
            <w:tcW w:w="1667" w:type="dxa"/>
            <w:tcBorders>
              <w:top w:val="nil"/>
              <w:left w:val="nil"/>
              <w:bottom w:val="single" w:sz="4" w:space="0" w:color="auto"/>
              <w:right w:val="single" w:sz="4" w:space="0" w:color="auto"/>
            </w:tcBorders>
            <w:shd w:val="clear" w:color="000000" w:fill="F2F2F2"/>
            <w:vAlign w:val="bottom"/>
            <w:hideMark/>
          </w:tcPr>
          <w:p w14:paraId="7DAE64D1" w14:textId="18D12EA6" w:rsidR="001C60EB" w:rsidRPr="00F01C67" w:rsidRDefault="001C60EB" w:rsidP="002E5AC9">
            <w:pPr>
              <w:jc w:val="center"/>
              <w:rPr>
                <w:color w:val="000000"/>
                <w:sz w:val="22"/>
                <w:szCs w:val="22"/>
              </w:rPr>
            </w:pPr>
            <w:r w:rsidRPr="00F01C67">
              <w:rPr>
                <w:color w:val="000000"/>
                <w:sz w:val="22"/>
                <w:szCs w:val="22"/>
              </w:rPr>
              <w:t>457</w:t>
            </w:r>
            <w:r w:rsidR="00FA0BDB">
              <w:rPr>
                <w:color w:val="000000"/>
                <w:sz w:val="22"/>
                <w:szCs w:val="22"/>
              </w:rPr>
              <w:t>.</w:t>
            </w:r>
            <w:r w:rsidRPr="00F01C67">
              <w:rPr>
                <w:color w:val="000000"/>
                <w:sz w:val="22"/>
                <w:szCs w:val="22"/>
              </w:rPr>
              <w:t>424</w:t>
            </w:r>
            <w:r w:rsidR="00FA0BDB">
              <w:rPr>
                <w:color w:val="000000"/>
                <w:sz w:val="22"/>
                <w:szCs w:val="22"/>
              </w:rPr>
              <w:t>,</w:t>
            </w:r>
            <w:r w:rsidRPr="00F01C67">
              <w:rPr>
                <w:color w:val="000000"/>
                <w:sz w:val="22"/>
                <w:szCs w:val="22"/>
              </w:rPr>
              <w:t>35 €</w:t>
            </w:r>
          </w:p>
        </w:tc>
        <w:tc>
          <w:tcPr>
            <w:tcW w:w="1667" w:type="dxa"/>
            <w:tcBorders>
              <w:top w:val="nil"/>
              <w:left w:val="nil"/>
              <w:bottom w:val="single" w:sz="4" w:space="0" w:color="auto"/>
              <w:right w:val="single" w:sz="4" w:space="0" w:color="auto"/>
            </w:tcBorders>
            <w:shd w:val="clear" w:color="000000" w:fill="F2F2F2"/>
            <w:vAlign w:val="bottom"/>
            <w:hideMark/>
          </w:tcPr>
          <w:p w14:paraId="265E97D2" w14:textId="7AFC129B" w:rsidR="001C60EB" w:rsidRPr="00F01C67" w:rsidRDefault="001C60EB" w:rsidP="002E5AC9">
            <w:pPr>
              <w:jc w:val="center"/>
              <w:rPr>
                <w:color w:val="000000"/>
                <w:sz w:val="22"/>
                <w:szCs w:val="22"/>
              </w:rPr>
            </w:pPr>
            <w:r w:rsidRPr="00F01C67">
              <w:rPr>
                <w:color w:val="000000"/>
                <w:sz w:val="22"/>
                <w:szCs w:val="22"/>
              </w:rPr>
              <w:t>505</w:t>
            </w:r>
            <w:r w:rsidR="00FA0BDB">
              <w:rPr>
                <w:color w:val="000000"/>
                <w:sz w:val="22"/>
                <w:szCs w:val="22"/>
              </w:rPr>
              <w:t>.</w:t>
            </w:r>
            <w:r w:rsidRPr="00F01C67">
              <w:rPr>
                <w:color w:val="000000"/>
                <w:sz w:val="22"/>
                <w:szCs w:val="22"/>
              </w:rPr>
              <w:t>029</w:t>
            </w:r>
            <w:r w:rsidR="00FA0BDB">
              <w:rPr>
                <w:color w:val="000000"/>
                <w:sz w:val="22"/>
                <w:szCs w:val="22"/>
              </w:rPr>
              <w:t>,</w:t>
            </w:r>
            <w:r w:rsidRPr="00F01C67">
              <w:rPr>
                <w:color w:val="000000"/>
                <w:sz w:val="22"/>
                <w:szCs w:val="22"/>
              </w:rPr>
              <w:t>37 €</w:t>
            </w:r>
          </w:p>
        </w:tc>
        <w:tc>
          <w:tcPr>
            <w:tcW w:w="1581" w:type="dxa"/>
            <w:tcBorders>
              <w:top w:val="nil"/>
              <w:left w:val="nil"/>
              <w:bottom w:val="single" w:sz="4" w:space="0" w:color="auto"/>
              <w:right w:val="single" w:sz="4" w:space="0" w:color="auto"/>
            </w:tcBorders>
            <w:shd w:val="clear" w:color="000000" w:fill="F2F2F2"/>
            <w:vAlign w:val="bottom"/>
            <w:hideMark/>
          </w:tcPr>
          <w:p w14:paraId="15F30A5D" w14:textId="26AA9395" w:rsidR="001C60EB" w:rsidRPr="00F01C67" w:rsidRDefault="001C60EB" w:rsidP="002E5AC9">
            <w:pPr>
              <w:jc w:val="center"/>
              <w:rPr>
                <w:color w:val="000000"/>
                <w:sz w:val="22"/>
                <w:szCs w:val="22"/>
              </w:rPr>
            </w:pPr>
            <w:r w:rsidRPr="00F01C67">
              <w:rPr>
                <w:color w:val="000000"/>
                <w:sz w:val="22"/>
                <w:szCs w:val="22"/>
              </w:rPr>
              <w:t>371</w:t>
            </w:r>
            <w:r w:rsidR="00FA0BDB">
              <w:rPr>
                <w:color w:val="000000"/>
                <w:sz w:val="22"/>
                <w:szCs w:val="22"/>
              </w:rPr>
              <w:t>.</w:t>
            </w:r>
            <w:r w:rsidRPr="00F01C67">
              <w:rPr>
                <w:color w:val="000000"/>
                <w:sz w:val="22"/>
                <w:szCs w:val="22"/>
              </w:rPr>
              <w:t>319</w:t>
            </w:r>
            <w:r w:rsidR="00FA0BDB">
              <w:rPr>
                <w:color w:val="000000"/>
                <w:sz w:val="22"/>
                <w:szCs w:val="22"/>
              </w:rPr>
              <w:t>,</w:t>
            </w:r>
            <w:r w:rsidRPr="00F01C67">
              <w:rPr>
                <w:color w:val="000000"/>
                <w:sz w:val="22"/>
                <w:szCs w:val="22"/>
              </w:rPr>
              <w:t>43 €</w:t>
            </w:r>
          </w:p>
        </w:tc>
        <w:tc>
          <w:tcPr>
            <w:tcW w:w="3745" w:type="dxa"/>
            <w:tcBorders>
              <w:top w:val="nil"/>
              <w:left w:val="nil"/>
              <w:bottom w:val="single" w:sz="4" w:space="0" w:color="auto"/>
              <w:right w:val="single" w:sz="8" w:space="0" w:color="auto"/>
            </w:tcBorders>
            <w:shd w:val="clear" w:color="000000" w:fill="F2F2F2"/>
            <w:vAlign w:val="bottom"/>
            <w:hideMark/>
          </w:tcPr>
          <w:p w14:paraId="27E158AB" w14:textId="58107385" w:rsidR="001C60EB" w:rsidRPr="00F01C67" w:rsidRDefault="001C60EB" w:rsidP="002E5AC9">
            <w:pPr>
              <w:jc w:val="center"/>
              <w:rPr>
                <w:color w:val="000000"/>
                <w:sz w:val="22"/>
                <w:szCs w:val="22"/>
              </w:rPr>
            </w:pPr>
            <w:r w:rsidRPr="00F01C67">
              <w:rPr>
                <w:color w:val="000000"/>
                <w:sz w:val="22"/>
                <w:szCs w:val="22"/>
              </w:rPr>
              <w:t>450</w:t>
            </w:r>
            <w:r w:rsidR="00FA0BDB">
              <w:rPr>
                <w:color w:val="000000"/>
                <w:sz w:val="22"/>
                <w:szCs w:val="22"/>
              </w:rPr>
              <w:t>.</w:t>
            </w:r>
            <w:r w:rsidRPr="00F01C67">
              <w:rPr>
                <w:color w:val="000000"/>
                <w:sz w:val="22"/>
                <w:szCs w:val="22"/>
              </w:rPr>
              <w:t>000</w:t>
            </w:r>
            <w:r w:rsidR="00FA0BDB">
              <w:rPr>
                <w:color w:val="000000"/>
                <w:sz w:val="22"/>
                <w:szCs w:val="22"/>
              </w:rPr>
              <w:t>,</w:t>
            </w:r>
            <w:r w:rsidRPr="00F01C67">
              <w:rPr>
                <w:color w:val="000000"/>
                <w:sz w:val="22"/>
                <w:szCs w:val="22"/>
              </w:rPr>
              <w:t>00 €</w:t>
            </w:r>
          </w:p>
        </w:tc>
      </w:tr>
      <w:tr w:rsidR="001C60EB" w14:paraId="60F38773" w14:textId="77777777" w:rsidTr="00F01C67">
        <w:trPr>
          <w:trHeight w:val="478"/>
        </w:trPr>
        <w:tc>
          <w:tcPr>
            <w:tcW w:w="785" w:type="dxa"/>
            <w:tcBorders>
              <w:top w:val="nil"/>
              <w:left w:val="single" w:sz="8" w:space="0" w:color="auto"/>
              <w:bottom w:val="single" w:sz="4" w:space="0" w:color="auto"/>
              <w:right w:val="single" w:sz="4" w:space="0" w:color="auto"/>
            </w:tcBorders>
            <w:shd w:val="clear" w:color="auto" w:fill="auto"/>
            <w:vAlign w:val="bottom"/>
            <w:hideMark/>
          </w:tcPr>
          <w:p w14:paraId="0310872A" w14:textId="77777777" w:rsidR="001C60EB" w:rsidRDefault="001C60EB" w:rsidP="002E5AC9">
            <w:pPr>
              <w:rPr>
                <w:rFonts w:ascii="Calibri" w:hAnsi="Calibri" w:cs="Calibri"/>
                <w:color w:val="000000"/>
              </w:rPr>
            </w:pPr>
            <w:r>
              <w:rPr>
                <w:rFonts w:ascii="Calibri" w:hAnsi="Calibri" w:cs="Calibri"/>
                <w:color w:val="000000"/>
              </w:rPr>
              <w:t>1.1.1.</w:t>
            </w:r>
          </w:p>
        </w:tc>
        <w:tc>
          <w:tcPr>
            <w:tcW w:w="1836" w:type="dxa"/>
            <w:tcBorders>
              <w:top w:val="nil"/>
              <w:left w:val="nil"/>
              <w:bottom w:val="single" w:sz="4" w:space="0" w:color="auto"/>
              <w:right w:val="single" w:sz="4" w:space="0" w:color="auto"/>
            </w:tcBorders>
            <w:shd w:val="clear" w:color="auto" w:fill="auto"/>
            <w:vAlign w:val="bottom"/>
            <w:hideMark/>
          </w:tcPr>
          <w:p w14:paraId="2C1E126D" w14:textId="77777777" w:rsidR="001C60EB" w:rsidRPr="00997784" w:rsidRDefault="001C60EB" w:rsidP="002E5AC9">
            <w:pPr>
              <w:rPr>
                <w:color w:val="000000"/>
                <w:sz w:val="20"/>
                <w:szCs w:val="20"/>
              </w:rPr>
            </w:pPr>
            <w:r w:rsidRPr="00997784">
              <w:rPr>
                <w:color w:val="000000"/>
                <w:sz w:val="20"/>
                <w:szCs w:val="20"/>
              </w:rPr>
              <w:t>Prihodi po osnovu naknada za ispuštanje zagađujućih materija u vazduh</w:t>
            </w:r>
          </w:p>
        </w:tc>
        <w:tc>
          <w:tcPr>
            <w:tcW w:w="1667" w:type="dxa"/>
            <w:tcBorders>
              <w:top w:val="nil"/>
              <w:left w:val="nil"/>
              <w:bottom w:val="single" w:sz="4" w:space="0" w:color="auto"/>
              <w:right w:val="single" w:sz="4" w:space="0" w:color="auto"/>
            </w:tcBorders>
            <w:shd w:val="clear" w:color="auto" w:fill="auto"/>
            <w:vAlign w:val="bottom"/>
            <w:hideMark/>
          </w:tcPr>
          <w:p w14:paraId="18B5B3F9" w14:textId="7B6E2C37" w:rsidR="001C60EB" w:rsidRPr="00F01C67" w:rsidRDefault="001C60EB" w:rsidP="002E5AC9">
            <w:pPr>
              <w:jc w:val="center"/>
              <w:rPr>
                <w:color w:val="000000"/>
                <w:sz w:val="22"/>
                <w:szCs w:val="22"/>
              </w:rPr>
            </w:pPr>
            <w:r w:rsidRPr="00F01C67">
              <w:rPr>
                <w:color w:val="000000"/>
                <w:sz w:val="22"/>
                <w:szCs w:val="22"/>
              </w:rPr>
              <w:t>0</w:t>
            </w:r>
            <w:r w:rsidR="0082584F">
              <w:rPr>
                <w:color w:val="000000"/>
                <w:sz w:val="22"/>
                <w:szCs w:val="22"/>
              </w:rPr>
              <w:t>,</w:t>
            </w:r>
            <w:r w:rsidRPr="00F01C67">
              <w:rPr>
                <w:color w:val="000000"/>
                <w:sz w:val="22"/>
                <w:szCs w:val="22"/>
              </w:rPr>
              <w:t>00 €</w:t>
            </w:r>
          </w:p>
        </w:tc>
        <w:tc>
          <w:tcPr>
            <w:tcW w:w="1667" w:type="dxa"/>
            <w:tcBorders>
              <w:top w:val="nil"/>
              <w:left w:val="nil"/>
              <w:bottom w:val="single" w:sz="4" w:space="0" w:color="auto"/>
              <w:right w:val="single" w:sz="4" w:space="0" w:color="auto"/>
            </w:tcBorders>
            <w:shd w:val="clear" w:color="auto" w:fill="auto"/>
            <w:vAlign w:val="bottom"/>
            <w:hideMark/>
          </w:tcPr>
          <w:p w14:paraId="0DC60FCE" w14:textId="663D9F4C" w:rsidR="001C60EB" w:rsidRPr="00F01C67" w:rsidRDefault="001C60EB" w:rsidP="002E5AC9">
            <w:pPr>
              <w:jc w:val="center"/>
              <w:rPr>
                <w:color w:val="000000"/>
                <w:sz w:val="22"/>
                <w:szCs w:val="22"/>
              </w:rPr>
            </w:pPr>
            <w:r w:rsidRPr="00F01C67">
              <w:rPr>
                <w:color w:val="000000"/>
                <w:sz w:val="22"/>
                <w:szCs w:val="22"/>
              </w:rPr>
              <w:t>2</w:t>
            </w:r>
            <w:r w:rsidR="0082584F">
              <w:rPr>
                <w:color w:val="000000"/>
                <w:sz w:val="22"/>
                <w:szCs w:val="22"/>
              </w:rPr>
              <w:t>.</w:t>
            </w:r>
            <w:r w:rsidRPr="00F01C67">
              <w:rPr>
                <w:color w:val="000000"/>
                <w:sz w:val="22"/>
                <w:szCs w:val="22"/>
              </w:rPr>
              <w:t>636</w:t>
            </w:r>
            <w:r w:rsidR="0082584F">
              <w:rPr>
                <w:color w:val="000000"/>
                <w:sz w:val="22"/>
                <w:szCs w:val="22"/>
              </w:rPr>
              <w:t>,</w:t>
            </w:r>
            <w:r w:rsidRPr="00F01C67">
              <w:rPr>
                <w:color w:val="000000"/>
                <w:sz w:val="22"/>
                <w:szCs w:val="22"/>
              </w:rPr>
              <w:t>21 €</w:t>
            </w:r>
          </w:p>
        </w:tc>
        <w:tc>
          <w:tcPr>
            <w:tcW w:w="1581" w:type="dxa"/>
            <w:tcBorders>
              <w:top w:val="nil"/>
              <w:left w:val="nil"/>
              <w:bottom w:val="single" w:sz="4" w:space="0" w:color="auto"/>
              <w:right w:val="single" w:sz="4" w:space="0" w:color="auto"/>
            </w:tcBorders>
            <w:shd w:val="clear" w:color="auto" w:fill="auto"/>
            <w:noWrap/>
            <w:vAlign w:val="bottom"/>
            <w:hideMark/>
          </w:tcPr>
          <w:p w14:paraId="02591C18" w14:textId="75AAABD6" w:rsidR="001C60EB" w:rsidRPr="00F01C67" w:rsidRDefault="001C60EB" w:rsidP="002E5AC9">
            <w:pPr>
              <w:jc w:val="center"/>
              <w:rPr>
                <w:color w:val="000000"/>
                <w:sz w:val="22"/>
                <w:szCs w:val="22"/>
              </w:rPr>
            </w:pPr>
            <w:r w:rsidRPr="00F01C67">
              <w:rPr>
                <w:color w:val="000000"/>
                <w:sz w:val="22"/>
                <w:szCs w:val="22"/>
              </w:rPr>
              <w:t>2</w:t>
            </w:r>
            <w:r w:rsidR="0082584F">
              <w:rPr>
                <w:color w:val="000000"/>
                <w:sz w:val="22"/>
                <w:szCs w:val="22"/>
              </w:rPr>
              <w:t>.</w:t>
            </w:r>
            <w:r w:rsidRPr="00F01C67">
              <w:rPr>
                <w:color w:val="000000"/>
                <w:sz w:val="22"/>
                <w:szCs w:val="22"/>
              </w:rPr>
              <w:t>636</w:t>
            </w:r>
            <w:r w:rsidR="0082584F">
              <w:rPr>
                <w:color w:val="000000"/>
                <w:sz w:val="22"/>
                <w:szCs w:val="22"/>
              </w:rPr>
              <w:t>,</w:t>
            </w:r>
            <w:r w:rsidRPr="00F01C67">
              <w:rPr>
                <w:color w:val="000000"/>
                <w:sz w:val="22"/>
                <w:szCs w:val="22"/>
              </w:rPr>
              <w:t>21 €</w:t>
            </w:r>
          </w:p>
        </w:tc>
        <w:tc>
          <w:tcPr>
            <w:tcW w:w="3745" w:type="dxa"/>
            <w:tcBorders>
              <w:top w:val="nil"/>
              <w:left w:val="nil"/>
              <w:bottom w:val="single" w:sz="4" w:space="0" w:color="auto"/>
              <w:right w:val="single" w:sz="8" w:space="0" w:color="auto"/>
            </w:tcBorders>
            <w:shd w:val="clear" w:color="auto" w:fill="auto"/>
            <w:vAlign w:val="bottom"/>
            <w:hideMark/>
          </w:tcPr>
          <w:p w14:paraId="2F97786C" w14:textId="31AC3241" w:rsidR="001C60EB" w:rsidRPr="00F01C67" w:rsidRDefault="001C60EB" w:rsidP="002E5AC9">
            <w:pPr>
              <w:jc w:val="center"/>
              <w:rPr>
                <w:color w:val="000000"/>
                <w:sz w:val="22"/>
                <w:szCs w:val="22"/>
              </w:rPr>
            </w:pPr>
            <w:r w:rsidRPr="00F01C67">
              <w:rPr>
                <w:color w:val="000000"/>
                <w:sz w:val="22"/>
                <w:szCs w:val="22"/>
              </w:rPr>
              <w:t>3</w:t>
            </w:r>
            <w:r w:rsidR="0082584F">
              <w:rPr>
                <w:color w:val="000000"/>
                <w:sz w:val="22"/>
                <w:szCs w:val="22"/>
              </w:rPr>
              <w:t>.</w:t>
            </w:r>
            <w:r w:rsidRPr="00F01C67">
              <w:rPr>
                <w:color w:val="000000"/>
                <w:sz w:val="22"/>
                <w:szCs w:val="22"/>
              </w:rPr>
              <w:t>000</w:t>
            </w:r>
            <w:r w:rsidR="0082584F">
              <w:rPr>
                <w:color w:val="000000"/>
                <w:sz w:val="22"/>
                <w:szCs w:val="22"/>
              </w:rPr>
              <w:t>,</w:t>
            </w:r>
            <w:r w:rsidRPr="00F01C67">
              <w:rPr>
                <w:color w:val="000000"/>
                <w:sz w:val="22"/>
                <w:szCs w:val="22"/>
              </w:rPr>
              <w:t>00 €</w:t>
            </w:r>
          </w:p>
        </w:tc>
      </w:tr>
      <w:tr w:rsidR="001C60EB" w14:paraId="71545B6B" w14:textId="77777777" w:rsidTr="00F01C67">
        <w:trPr>
          <w:trHeight w:val="534"/>
        </w:trPr>
        <w:tc>
          <w:tcPr>
            <w:tcW w:w="785" w:type="dxa"/>
            <w:tcBorders>
              <w:top w:val="nil"/>
              <w:left w:val="single" w:sz="8" w:space="0" w:color="auto"/>
              <w:bottom w:val="single" w:sz="4" w:space="0" w:color="auto"/>
              <w:right w:val="single" w:sz="4" w:space="0" w:color="auto"/>
            </w:tcBorders>
            <w:shd w:val="clear" w:color="auto" w:fill="auto"/>
            <w:vAlign w:val="bottom"/>
            <w:hideMark/>
          </w:tcPr>
          <w:p w14:paraId="79A02ACE" w14:textId="77777777" w:rsidR="001C60EB" w:rsidRDefault="001C60EB" w:rsidP="002E5AC9">
            <w:pPr>
              <w:rPr>
                <w:rFonts w:ascii="Calibri" w:hAnsi="Calibri" w:cs="Calibri"/>
                <w:color w:val="000000"/>
              </w:rPr>
            </w:pPr>
            <w:r>
              <w:rPr>
                <w:rFonts w:ascii="Calibri" w:hAnsi="Calibri" w:cs="Calibri"/>
                <w:color w:val="000000"/>
              </w:rPr>
              <w:t>1.1.2.</w:t>
            </w:r>
          </w:p>
        </w:tc>
        <w:tc>
          <w:tcPr>
            <w:tcW w:w="1836" w:type="dxa"/>
            <w:tcBorders>
              <w:top w:val="nil"/>
              <w:left w:val="nil"/>
              <w:bottom w:val="single" w:sz="4" w:space="0" w:color="auto"/>
              <w:right w:val="single" w:sz="4" w:space="0" w:color="auto"/>
            </w:tcBorders>
            <w:shd w:val="clear" w:color="auto" w:fill="auto"/>
            <w:vAlign w:val="bottom"/>
            <w:hideMark/>
          </w:tcPr>
          <w:p w14:paraId="10970D7C" w14:textId="77777777" w:rsidR="001C60EB" w:rsidRPr="00997784" w:rsidRDefault="001C60EB" w:rsidP="002E5AC9">
            <w:pPr>
              <w:rPr>
                <w:color w:val="000000"/>
                <w:sz w:val="20"/>
                <w:szCs w:val="20"/>
              </w:rPr>
            </w:pPr>
            <w:r w:rsidRPr="00997784">
              <w:rPr>
                <w:color w:val="000000"/>
                <w:sz w:val="20"/>
                <w:szCs w:val="20"/>
              </w:rPr>
              <w:t>Prihodi po osnovu naknada za stvaranje opasnog otpada</w:t>
            </w:r>
          </w:p>
        </w:tc>
        <w:tc>
          <w:tcPr>
            <w:tcW w:w="1667" w:type="dxa"/>
            <w:tcBorders>
              <w:top w:val="nil"/>
              <w:left w:val="nil"/>
              <w:bottom w:val="single" w:sz="4" w:space="0" w:color="auto"/>
              <w:right w:val="single" w:sz="4" w:space="0" w:color="auto"/>
            </w:tcBorders>
            <w:shd w:val="clear" w:color="auto" w:fill="auto"/>
            <w:vAlign w:val="bottom"/>
            <w:hideMark/>
          </w:tcPr>
          <w:p w14:paraId="0DED1036" w14:textId="39F830A3" w:rsidR="001C60EB" w:rsidRPr="00F01C67" w:rsidRDefault="001C60EB" w:rsidP="002E5AC9">
            <w:pPr>
              <w:jc w:val="center"/>
              <w:rPr>
                <w:color w:val="000000"/>
                <w:sz w:val="22"/>
                <w:szCs w:val="22"/>
              </w:rPr>
            </w:pPr>
            <w:r w:rsidRPr="00F01C67">
              <w:rPr>
                <w:color w:val="000000"/>
                <w:sz w:val="22"/>
                <w:szCs w:val="22"/>
              </w:rPr>
              <w:t>432</w:t>
            </w:r>
            <w:r w:rsidR="0082584F">
              <w:rPr>
                <w:color w:val="000000"/>
                <w:sz w:val="22"/>
                <w:szCs w:val="22"/>
              </w:rPr>
              <w:t>.</w:t>
            </w:r>
            <w:r w:rsidRPr="00F01C67">
              <w:rPr>
                <w:color w:val="000000"/>
                <w:sz w:val="22"/>
                <w:szCs w:val="22"/>
              </w:rPr>
              <w:t>424</w:t>
            </w:r>
            <w:r w:rsidR="0082584F">
              <w:rPr>
                <w:color w:val="000000"/>
                <w:sz w:val="22"/>
                <w:szCs w:val="22"/>
              </w:rPr>
              <w:t>,</w:t>
            </w:r>
            <w:r w:rsidRPr="00F01C67">
              <w:rPr>
                <w:color w:val="000000"/>
                <w:sz w:val="22"/>
                <w:szCs w:val="22"/>
              </w:rPr>
              <w:t>35 €</w:t>
            </w:r>
          </w:p>
        </w:tc>
        <w:tc>
          <w:tcPr>
            <w:tcW w:w="1667" w:type="dxa"/>
            <w:tcBorders>
              <w:top w:val="nil"/>
              <w:left w:val="nil"/>
              <w:bottom w:val="single" w:sz="4" w:space="0" w:color="auto"/>
              <w:right w:val="single" w:sz="4" w:space="0" w:color="auto"/>
            </w:tcBorders>
            <w:shd w:val="clear" w:color="auto" w:fill="auto"/>
            <w:vAlign w:val="bottom"/>
            <w:hideMark/>
          </w:tcPr>
          <w:p w14:paraId="5A93AA01" w14:textId="09567546" w:rsidR="001C60EB" w:rsidRPr="00F01C67" w:rsidRDefault="001C60EB" w:rsidP="002E5AC9">
            <w:pPr>
              <w:jc w:val="center"/>
              <w:rPr>
                <w:color w:val="000000"/>
                <w:sz w:val="22"/>
                <w:szCs w:val="22"/>
              </w:rPr>
            </w:pPr>
            <w:r w:rsidRPr="00F01C67">
              <w:rPr>
                <w:color w:val="000000"/>
                <w:sz w:val="22"/>
                <w:szCs w:val="22"/>
              </w:rPr>
              <w:t>451</w:t>
            </w:r>
            <w:r w:rsidR="0082584F">
              <w:rPr>
                <w:color w:val="000000"/>
                <w:sz w:val="22"/>
                <w:szCs w:val="22"/>
              </w:rPr>
              <w:t>.</w:t>
            </w:r>
            <w:r w:rsidRPr="00F01C67">
              <w:rPr>
                <w:color w:val="000000"/>
                <w:sz w:val="22"/>
                <w:szCs w:val="22"/>
              </w:rPr>
              <w:t>609</w:t>
            </w:r>
            <w:r w:rsidR="0082584F">
              <w:rPr>
                <w:color w:val="000000"/>
                <w:sz w:val="22"/>
                <w:szCs w:val="22"/>
              </w:rPr>
              <w:t>,</w:t>
            </w:r>
            <w:r w:rsidRPr="00F01C67">
              <w:rPr>
                <w:color w:val="000000"/>
                <w:sz w:val="22"/>
                <w:szCs w:val="22"/>
              </w:rPr>
              <w:t>39 €</w:t>
            </w:r>
          </w:p>
        </w:tc>
        <w:tc>
          <w:tcPr>
            <w:tcW w:w="1581" w:type="dxa"/>
            <w:tcBorders>
              <w:top w:val="nil"/>
              <w:left w:val="nil"/>
              <w:bottom w:val="single" w:sz="4" w:space="0" w:color="auto"/>
              <w:right w:val="single" w:sz="4" w:space="0" w:color="auto"/>
            </w:tcBorders>
            <w:shd w:val="clear" w:color="auto" w:fill="auto"/>
            <w:noWrap/>
            <w:vAlign w:val="bottom"/>
            <w:hideMark/>
          </w:tcPr>
          <w:p w14:paraId="6DEDBFA7" w14:textId="7A6531DE" w:rsidR="001C60EB" w:rsidRPr="00F01C67" w:rsidRDefault="001C60EB" w:rsidP="002E5AC9">
            <w:pPr>
              <w:jc w:val="center"/>
              <w:rPr>
                <w:color w:val="000000"/>
                <w:sz w:val="22"/>
                <w:szCs w:val="22"/>
              </w:rPr>
            </w:pPr>
            <w:r w:rsidRPr="00F01C67">
              <w:rPr>
                <w:color w:val="000000"/>
                <w:sz w:val="22"/>
                <w:szCs w:val="22"/>
              </w:rPr>
              <w:t>342</w:t>
            </w:r>
            <w:r w:rsidR="0082584F">
              <w:rPr>
                <w:color w:val="000000"/>
                <w:sz w:val="22"/>
                <w:szCs w:val="22"/>
              </w:rPr>
              <w:t>.</w:t>
            </w:r>
            <w:r w:rsidRPr="00F01C67">
              <w:rPr>
                <w:color w:val="000000"/>
                <w:sz w:val="22"/>
                <w:szCs w:val="22"/>
              </w:rPr>
              <w:t>899</w:t>
            </w:r>
            <w:r w:rsidR="0082584F">
              <w:rPr>
                <w:color w:val="000000"/>
                <w:sz w:val="22"/>
                <w:szCs w:val="22"/>
              </w:rPr>
              <w:t>,</w:t>
            </w:r>
            <w:r w:rsidRPr="00F01C67">
              <w:rPr>
                <w:color w:val="000000"/>
                <w:sz w:val="22"/>
                <w:szCs w:val="22"/>
              </w:rPr>
              <w:t>45 €</w:t>
            </w:r>
          </w:p>
        </w:tc>
        <w:tc>
          <w:tcPr>
            <w:tcW w:w="3745" w:type="dxa"/>
            <w:tcBorders>
              <w:top w:val="nil"/>
              <w:left w:val="nil"/>
              <w:bottom w:val="single" w:sz="4" w:space="0" w:color="auto"/>
              <w:right w:val="single" w:sz="8" w:space="0" w:color="auto"/>
            </w:tcBorders>
            <w:shd w:val="clear" w:color="auto" w:fill="auto"/>
            <w:vAlign w:val="bottom"/>
            <w:hideMark/>
          </w:tcPr>
          <w:p w14:paraId="54DE5AF5" w14:textId="6CC7EBD5" w:rsidR="001C60EB" w:rsidRPr="00F01C67" w:rsidRDefault="001C60EB" w:rsidP="002E5AC9">
            <w:pPr>
              <w:jc w:val="center"/>
              <w:rPr>
                <w:color w:val="000000"/>
                <w:sz w:val="22"/>
                <w:szCs w:val="22"/>
              </w:rPr>
            </w:pPr>
            <w:r w:rsidRPr="00F01C67">
              <w:rPr>
                <w:color w:val="000000"/>
                <w:sz w:val="22"/>
                <w:szCs w:val="22"/>
              </w:rPr>
              <w:t>447</w:t>
            </w:r>
            <w:r w:rsidR="0082584F">
              <w:rPr>
                <w:color w:val="000000"/>
                <w:sz w:val="22"/>
                <w:szCs w:val="22"/>
              </w:rPr>
              <w:t>.</w:t>
            </w:r>
            <w:r w:rsidRPr="00F01C67">
              <w:rPr>
                <w:color w:val="000000"/>
                <w:sz w:val="22"/>
                <w:szCs w:val="22"/>
              </w:rPr>
              <w:t>000</w:t>
            </w:r>
            <w:r w:rsidR="0082584F">
              <w:rPr>
                <w:color w:val="000000"/>
                <w:sz w:val="22"/>
                <w:szCs w:val="22"/>
              </w:rPr>
              <w:t>,</w:t>
            </w:r>
            <w:r w:rsidRPr="00F01C67">
              <w:rPr>
                <w:color w:val="000000"/>
                <w:sz w:val="22"/>
                <w:szCs w:val="22"/>
              </w:rPr>
              <w:t>00 €</w:t>
            </w:r>
          </w:p>
        </w:tc>
      </w:tr>
      <w:tr w:rsidR="001C60EB" w14:paraId="675C65B7" w14:textId="77777777" w:rsidTr="00F01C67">
        <w:trPr>
          <w:trHeight w:val="445"/>
        </w:trPr>
        <w:tc>
          <w:tcPr>
            <w:tcW w:w="785" w:type="dxa"/>
            <w:tcBorders>
              <w:top w:val="nil"/>
              <w:left w:val="single" w:sz="8" w:space="0" w:color="auto"/>
              <w:bottom w:val="single" w:sz="4" w:space="0" w:color="auto"/>
              <w:right w:val="single" w:sz="4" w:space="0" w:color="auto"/>
            </w:tcBorders>
            <w:shd w:val="clear" w:color="auto" w:fill="auto"/>
            <w:vAlign w:val="bottom"/>
            <w:hideMark/>
          </w:tcPr>
          <w:p w14:paraId="4C43FFB9" w14:textId="77777777" w:rsidR="001C60EB" w:rsidRDefault="001C60EB" w:rsidP="002E5AC9">
            <w:pPr>
              <w:rPr>
                <w:rFonts w:ascii="Calibri" w:hAnsi="Calibri" w:cs="Calibri"/>
                <w:color w:val="000000"/>
              </w:rPr>
            </w:pPr>
            <w:r>
              <w:rPr>
                <w:rFonts w:ascii="Calibri" w:hAnsi="Calibri" w:cs="Calibri"/>
                <w:color w:val="000000"/>
              </w:rPr>
              <w:t>1.1.3.</w:t>
            </w:r>
          </w:p>
        </w:tc>
        <w:tc>
          <w:tcPr>
            <w:tcW w:w="1836" w:type="dxa"/>
            <w:tcBorders>
              <w:top w:val="nil"/>
              <w:left w:val="nil"/>
              <w:bottom w:val="single" w:sz="4" w:space="0" w:color="auto"/>
              <w:right w:val="single" w:sz="4" w:space="0" w:color="auto"/>
            </w:tcBorders>
            <w:shd w:val="clear" w:color="auto" w:fill="auto"/>
            <w:vAlign w:val="bottom"/>
            <w:hideMark/>
          </w:tcPr>
          <w:p w14:paraId="67B62CC1" w14:textId="77777777" w:rsidR="001C60EB" w:rsidRPr="00997784" w:rsidRDefault="001C60EB" w:rsidP="002E5AC9">
            <w:pPr>
              <w:rPr>
                <w:color w:val="000000"/>
                <w:sz w:val="20"/>
                <w:szCs w:val="20"/>
              </w:rPr>
            </w:pPr>
            <w:r w:rsidRPr="00997784">
              <w:rPr>
                <w:color w:val="000000"/>
                <w:sz w:val="20"/>
                <w:szCs w:val="20"/>
              </w:rPr>
              <w:t>Prihodi po osnovu naknada za uvoz supstanci koje uništavaju ozonski omotač</w:t>
            </w:r>
          </w:p>
        </w:tc>
        <w:tc>
          <w:tcPr>
            <w:tcW w:w="1667" w:type="dxa"/>
            <w:tcBorders>
              <w:top w:val="nil"/>
              <w:left w:val="nil"/>
              <w:bottom w:val="single" w:sz="4" w:space="0" w:color="auto"/>
              <w:right w:val="single" w:sz="4" w:space="0" w:color="auto"/>
            </w:tcBorders>
            <w:shd w:val="clear" w:color="auto" w:fill="auto"/>
            <w:vAlign w:val="bottom"/>
            <w:hideMark/>
          </w:tcPr>
          <w:p w14:paraId="52DFCC11" w14:textId="2C6395C0" w:rsidR="001C60EB" w:rsidRPr="00F01C67" w:rsidRDefault="001C60EB" w:rsidP="002E5AC9">
            <w:pPr>
              <w:jc w:val="center"/>
              <w:rPr>
                <w:color w:val="000000"/>
                <w:sz w:val="22"/>
                <w:szCs w:val="22"/>
              </w:rPr>
            </w:pPr>
            <w:r w:rsidRPr="00F01C67">
              <w:rPr>
                <w:color w:val="000000"/>
                <w:sz w:val="22"/>
                <w:szCs w:val="22"/>
              </w:rPr>
              <w:t>0</w:t>
            </w:r>
            <w:r w:rsidR="0082584F">
              <w:rPr>
                <w:color w:val="000000"/>
                <w:sz w:val="22"/>
                <w:szCs w:val="22"/>
              </w:rPr>
              <w:t>,</w:t>
            </w:r>
            <w:r w:rsidRPr="00F01C67">
              <w:rPr>
                <w:color w:val="000000"/>
                <w:sz w:val="22"/>
                <w:szCs w:val="22"/>
              </w:rPr>
              <w:t>00 €</w:t>
            </w:r>
          </w:p>
        </w:tc>
        <w:tc>
          <w:tcPr>
            <w:tcW w:w="1667" w:type="dxa"/>
            <w:tcBorders>
              <w:top w:val="nil"/>
              <w:left w:val="nil"/>
              <w:bottom w:val="single" w:sz="4" w:space="0" w:color="auto"/>
              <w:right w:val="single" w:sz="4" w:space="0" w:color="auto"/>
            </w:tcBorders>
            <w:shd w:val="clear" w:color="auto" w:fill="auto"/>
            <w:vAlign w:val="bottom"/>
            <w:hideMark/>
          </w:tcPr>
          <w:p w14:paraId="6EA48DDA" w14:textId="314F4F8E" w:rsidR="001C60EB" w:rsidRPr="00F01C67" w:rsidRDefault="001C60EB" w:rsidP="002E5AC9">
            <w:pPr>
              <w:jc w:val="center"/>
              <w:rPr>
                <w:color w:val="000000"/>
                <w:sz w:val="22"/>
                <w:szCs w:val="22"/>
              </w:rPr>
            </w:pPr>
            <w:r w:rsidRPr="00F01C67">
              <w:rPr>
                <w:color w:val="000000"/>
                <w:sz w:val="22"/>
                <w:szCs w:val="22"/>
              </w:rPr>
              <w:t>0</w:t>
            </w:r>
            <w:r w:rsidR="0082584F">
              <w:rPr>
                <w:color w:val="000000"/>
                <w:sz w:val="22"/>
                <w:szCs w:val="22"/>
              </w:rPr>
              <w:t>,</w:t>
            </w:r>
            <w:r w:rsidRPr="00F01C67">
              <w:rPr>
                <w:color w:val="000000"/>
                <w:sz w:val="22"/>
                <w:szCs w:val="22"/>
              </w:rPr>
              <w:t>00 €</w:t>
            </w:r>
          </w:p>
        </w:tc>
        <w:tc>
          <w:tcPr>
            <w:tcW w:w="1581" w:type="dxa"/>
            <w:tcBorders>
              <w:top w:val="nil"/>
              <w:left w:val="nil"/>
              <w:bottom w:val="single" w:sz="4" w:space="0" w:color="auto"/>
              <w:right w:val="single" w:sz="4" w:space="0" w:color="auto"/>
            </w:tcBorders>
            <w:shd w:val="clear" w:color="auto" w:fill="auto"/>
            <w:noWrap/>
            <w:vAlign w:val="bottom"/>
            <w:hideMark/>
          </w:tcPr>
          <w:p w14:paraId="39E2D0B1" w14:textId="3A3B2B37" w:rsidR="001C60EB" w:rsidRPr="00F01C67" w:rsidRDefault="001C60EB" w:rsidP="002E5AC9">
            <w:pPr>
              <w:jc w:val="center"/>
              <w:rPr>
                <w:color w:val="000000"/>
                <w:sz w:val="22"/>
                <w:szCs w:val="22"/>
              </w:rPr>
            </w:pPr>
            <w:r w:rsidRPr="00F01C67">
              <w:rPr>
                <w:color w:val="000000"/>
                <w:sz w:val="22"/>
                <w:szCs w:val="22"/>
              </w:rPr>
              <w:t>0</w:t>
            </w:r>
            <w:r w:rsidR="0082584F">
              <w:rPr>
                <w:color w:val="000000"/>
                <w:sz w:val="22"/>
                <w:szCs w:val="22"/>
              </w:rPr>
              <w:t>,</w:t>
            </w:r>
            <w:r w:rsidRPr="00F01C67">
              <w:rPr>
                <w:color w:val="000000"/>
                <w:sz w:val="22"/>
                <w:szCs w:val="22"/>
              </w:rPr>
              <w:t>00 €</w:t>
            </w:r>
          </w:p>
        </w:tc>
        <w:tc>
          <w:tcPr>
            <w:tcW w:w="3745" w:type="dxa"/>
            <w:tcBorders>
              <w:top w:val="nil"/>
              <w:left w:val="nil"/>
              <w:bottom w:val="single" w:sz="4" w:space="0" w:color="auto"/>
              <w:right w:val="single" w:sz="8" w:space="0" w:color="auto"/>
            </w:tcBorders>
            <w:shd w:val="clear" w:color="auto" w:fill="auto"/>
            <w:vAlign w:val="bottom"/>
            <w:hideMark/>
          </w:tcPr>
          <w:p w14:paraId="4D6CF0BD" w14:textId="0CB327A6" w:rsidR="001C60EB" w:rsidRPr="00F01C67" w:rsidRDefault="001C60EB" w:rsidP="002E5AC9">
            <w:pPr>
              <w:jc w:val="center"/>
              <w:rPr>
                <w:color w:val="000000"/>
                <w:sz w:val="22"/>
                <w:szCs w:val="22"/>
              </w:rPr>
            </w:pPr>
            <w:r w:rsidRPr="00F01C67">
              <w:rPr>
                <w:color w:val="000000"/>
                <w:sz w:val="22"/>
                <w:szCs w:val="22"/>
              </w:rPr>
              <w:t>0</w:t>
            </w:r>
            <w:r w:rsidR="0082584F">
              <w:rPr>
                <w:color w:val="000000"/>
                <w:sz w:val="22"/>
                <w:szCs w:val="22"/>
              </w:rPr>
              <w:t>,</w:t>
            </w:r>
            <w:r w:rsidRPr="00F01C67">
              <w:rPr>
                <w:color w:val="000000"/>
                <w:sz w:val="22"/>
                <w:szCs w:val="22"/>
              </w:rPr>
              <w:t>00 €</w:t>
            </w:r>
          </w:p>
        </w:tc>
      </w:tr>
      <w:tr w:rsidR="001C60EB" w14:paraId="25975973" w14:textId="77777777" w:rsidTr="00F01C67">
        <w:trPr>
          <w:trHeight w:val="575"/>
        </w:trPr>
        <w:tc>
          <w:tcPr>
            <w:tcW w:w="785" w:type="dxa"/>
            <w:tcBorders>
              <w:top w:val="nil"/>
              <w:left w:val="single" w:sz="8" w:space="0" w:color="auto"/>
              <w:bottom w:val="nil"/>
              <w:right w:val="single" w:sz="4" w:space="0" w:color="auto"/>
            </w:tcBorders>
            <w:shd w:val="clear" w:color="000000" w:fill="F2F2F2"/>
            <w:vAlign w:val="bottom"/>
            <w:hideMark/>
          </w:tcPr>
          <w:p w14:paraId="5EB6FC43" w14:textId="77777777" w:rsidR="001C60EB" w:rsidRDefault="001C60EB" w:rsidP="002E5AC9">
            <w:pPr>
              <w:rPr>
                <w:rFonts w:ascii="Calibri" w:hAnsi="Calibri" w:cs="Calibri"/>
                <w:color w:val="000000"/>
              </w:rPr>
            </w:pPr>
            <w:r>
              <w:rPr>
                <w:rFonts w:ascii="Calibri" w:hAnsi="Calibri" w:cs="Calibri"/>
                <w:color w:val="000000"/>
              </w:rPr>
              <w:t>1.2.</w:t>
            </w:r>
          </w:p>
        </w:tc>
        <w:tc>
          <w:tcPr>
            <w:tcW w:w="1836" w:type="dxa"/>
            <w:tcBorders>
              <w:top w:val="nil"/>
              <w:left w:val="nil"/>
              <w:bottom w:val="nil"/>
              <w:right w:val="single" w:sz="4" w:space="0" w:color="auto"/>
            </w:tcBorders>
            <w:shd w:val="clear" w:color="000000" w:fill="F2F2F2"/>
            <w:vAlign w:val="bottom"/>
            <w:hideMark/>
          </w:tcPr>
          <w:p w14:paraId="2CF88DED" w14:textId="77777777" w:rsidR="001C60EB" w:rsidRPr="00997784" w:rsidRDefault="001C60EB" w:rsidP="002E5AC9">
            <w:pPr>
              <w:rPr>
                <w:color w:val="000000"/>
                <w:sz w:val="20"/>
                <w:szCs w:val="20"/>
              </w:rPr>
            </w:pPr>
            <w:r w:rsidRPr="00997784">
              <w:rPr>
                <w:color w:val="000000"/>
                <w:sz w:val="20"/>
                <w:szCs w:val="20"/>
              </w:rPr>
              <w:t>Prihodi po osnovu javne aukcije za prodaju emisionih kredita</w:t>
            </w:r>
          </w:p>
        </w:tc>
        <w:tc>
          <w:tcPr>
            <w:tcW w:w="1667" w:type="dxa"/>
            <w:tcBorders>
              <w:top w:val="nil"/>
              <w:left w:val="nil"/>
              <w:bottom w:val="nil"/>
              <w:right w:val="single" w:sz="4" w:space="0" w:color="auto"/>
            </w:tcBorders>
            <w:shd w:val="clear" w:color="000000" w:fill="F2F2F2"/>
            <w:vAlign w:val="bottom"/>
            <w:hideMark/>
          </w:tcPr>
          <w:p w14:paraId="5669930A" w14:textId="403478EB" w:rsidR="001C60EB" w:rsidRPr="00F01C67" w:rsidRDefault="001C60EB" w:rsidP="002E5AC9">
            <w:pPr>
              <w:jc w:val="center"/>
              <w:rPr>
                <w:color w:val="000000"/>
                <w:sz w:val="22"/>
                <w:szCs w:val="22"/>
              </w:rPr>
            </w:pPr>
            <w:r w:rsidRPr="00F01C67">
              <w:rPr>
                <w:color w:val="000000"/>
                <w:sz w:val="22"/>
                <w:szCs w:val="22"/>
              </w:rPr>
              <w:t>10</w:t>
            </w:r>
            <w:r w:rsidR="002E5AB1">
              <w:rPr>
                <w:color w:val="000000"/>
                <w:sz w:val="22"/>
                <w:szCs w:val="22"/>
              </w:rPr>
              <w:t>.</w:t>
            </w:r>
            <w:r w:rsidRPr="00F01C67">
              <w:rPr>
                <w:color w:val="000000"/>
                <w:sz w:val="22"/>
                <w:szCs w:val="22"/>
              </w:rPr>
              <w:t>706</w:t>
            </w:r>
            <w:r w:rsidR="002E5AB1">
              <w:rPr>
                <w:color w:val="000000"/>
                <w:sz w:val="22"/>
                <w:szCs w:val="22"/>
              </w:rPr>
              <w:t>.</w:t>
            </w:r>
            <w:r w:rsidRPr="00F01C67">
              <w:rPr>
                <w:color w:val="000000"/>
                <w:sz w:val="22"/>
                <w:szCs w:val="22"/>
              </w:rPr>
              <w:t>193</w:t>
            </w:r>
            <w:r w:rsidR="002E5AB1">
              <w:rPr>
                <w:color w:val="000000"/>
                <w:sz w:val="22"/>
                <w:szCs w:val="22"/>
              </w:rPr>
              <w:t>,</w:t>
            </w:r>
            <w:r w:rsidRPr="00F01C67">
              <w:rPr>
                <w:color w:val="000000"/>
                <w:sz w:val="22"/>
                <w:szCs w:val="22"/>
              </w:rPr>
              <w:t>60 €</w:t>
            </w:r>
          </w:p>
        </w:tc>
        <w:tc>
          <w:tcPr>
            <w:tcW w:w="1667" w:type="dxa"/>
            <w:tcBorders>
              <w:top w:val="nil"/>
              <w:left w:val="nil"/>
              <w:bottom w:val="nil"/>
              <w:right w:val="single" w:sz="4" w:space="0" w:color="auto"/>
            </w:tcBorders>
            <w:shd w:val="clear" w:color="000000" w:fill="F2F2F2"/>
            <w:vAlign w:val="bottom"/>
            <w:hideMark/>
          </w:tcPr>
          <w:p w14:paraId="2B3ACD96" w14:textId="31C53912" w:rsidR="001C60EB" w:rsidRPr="00F01C67" w:rsidRDefault="001C60EB" w:rsidP="002E5AC9">
            <w:pPr>
              <w:jc w:val="center"/>
              <w:rPr>
                <w:color w:val="000000"/>
                <w:sz w:val="22"/>
                <w:szCs w:val="22"/>
              </w:rPr>
            </w:pPr>
            <w:r w:rsidRPr="00F01C67">
              <w:rPr>
                <w:color w:val="000000"/>
                <w:sz w:val="22"/>
                <w:szCs w:val="22"/>
              </w:rPr>
              <w:t>12</w:t>
            </w:r>
            <w:r w:rsidR="002E5AB1">
              <w:rPr>
                <w:color w:val="000000"/>
                <w:sz w:val="22"/>
                <w:szCs w:val="22"/>
              </w:rPr>
              <w:t>.</w:t>
            </w:r>
            <w:r w:rsidRPr="00F01C67">
              <w:rPr>
                <w:color w:val="000000"/>
                <w:sz w:val="22"/>
                <w:szCs w:val="22"/>
              </w:rPr>
              <w:t>847</w:t>
            </w:r>
            <w:r w:rsidR="002E5AB1">
              <w:rPr>
                <w:color w:val="000000"/>
                <w:sz w:val="22"/>
                <w:szCs w:val="22"/>
              </w:rPr>
              <w:t>.</w:t>
            </w:r>
            <w:r w:rsidRPr="00F01C67">
              <w:rPr>
                <w:color w:val="000000"/>
                <w:sz w:val="22"/>
                <w:szCs w:val="22"/>
              </w:rPr>
              <w:t>432</w:t>
            </w:r>
            <w:r w:rsidR="002E5AB1">
              <w:rPr>
                <w:color w:val="000000"/>
                <w:sz w:val="22"/>
                <w:szCs w:val="22"/>
              </w:rPr>
              <w:t>,</w:t>
            </w:r>
            <w:r w:rsidRPr="00F01C67">
              <w:rPr>
                <w:color w:val="000000"/>
                <w:sz w:val="22"/>
                <w:szCs w:val="22"/>
              </w:rPr>
              <w:t>35 €</w:t>
            </w:r>
          </w:p>
        </w:tc>
        <w:tc>
          <w:tcPr>
            <w:tcW w:w="1581" w:type="dxa"/>
            <w:tcBorders>
              <w:top w:val="nil"/>
              <w:left w:val="nil"/>
              <w:bottom w:val="nil"/>
              <w:right w:val="single" w:sz="4" w:space="0" w:color="auto"/>
            </w:tcBorders>
            <w:shd w:val="clear" w:color="000000" w:fill="F2F2F2"/>
            <w:noWrap/>
            <w:vAlign w:val="bottom"/>
            <w:hideMark/>
          </w:tcPr>
          <w:p w14:paraId="09EDBD00" w14:textId="2A983305" w:rsidR="001C60EB" w:rsidRPr="00F01C67" w:rsidRDefault="001C60EB" w:rsidP="002E5AC9">
            <w:pPr>
              <w:jc w:val="center"/>
              <w:rPr>
                <w:color w:val="000000"/>
                <w:sz w:val="22"/>
                <w:szCs w:val="22"/>
              </w:rPr>
            </w:pPr>
            <w:r w:rsidRPr="00F01C67">
              <w:rPr>
                <w:color w:val="000000"/>
                <w:sz w:val="22"/>
                <w:szCs w:val="22"/>
              </w:rPr>
              <w:t>2</w:t>
            </w:r>
            <w:r w:rsidR="002E5AB1">
              <w:rPr>
                <w:color w:val="000000"/>
                <w:sz w:val="22"/>
                <w:szCs w:val="22"/>
              </w:rPr>
              <w:t>.</w:t>
            </w:r>
            <w:r w:rsidRPr="00F01C67">
              <w:rPr>
                <w:color w:val="000000"/>
                <w:sz w:val="22"/>
                <w:szCs w:val="22"/>
              </w:rPr>
              <w:t>141</w:t>
            </w:r>
            <w:r w:rsidR="002E5AB1">
              <w:rPr>
                <w:color w:val="000000"/>
                <w:sz w:val="22"/>
                <w:szCs w:val="22"/>
              </w:rPr>
              <w:t>.</w:t>
            </w:r>
            <w:r w:rsidRPr="00F01C67">
              <w:rPr>
                <w:color w:val="000000"/>
                <w:sz w:val="22"/>
                <w:szCs w:val="22"/>
              </w:rPr>
              <w:t>238</w:t>
            </w:r>
            <w:r w:rsidR="002E5AB1">
              <w:rPr>
                <w:color w:val="000000"/>
                <w:sz w:val="22"/>
                <w:szCs w:val="22"/>
              </w:rPr>
              <w:t>,</w:t>
            </w:r>
            <w:r w:rsidRPr="00F01C67">
              <w:rPr>
                <w:color w:val="000000"/>
                <w:sz w:val="22"/>
                <w:szCs w:val="22"/>
              </w:rPr>
              <w:t>75 €</w:t>
            </w:r>
          </w:p>
        </w:tc>
        <w:tc>
          <w:tcPr>
            <w:tcW w:w="3745" w:type="dxa"/>
            <w:tcBorders>
              <w:top w:val="nil"/>
              <w:left w:val="nil"/>
              <w:bottom w:val="nil"/>
              <w:right w:val="single" w:sz="8" w:space="0" w:color="auto"/>
            </w:tcBorders>
            <w:shd w:val="clear" w:color="000000" w:fill="F2F2F2"/>
            <w:vAlign w:val="bottom"/>
            <w:hideMark/>
          </w:tcPr>
          <w:p w14:paraId="007863BF" w14:textId="6C94B107" w:rsidR="001C60EB" w:rsidRPr="00F01C67" w:rsidRDefault="001C60EB" w:rsidP="002E5AC9">
            <w:pPr>
              <w:jc w:val="center"/>
              <w:rPr>
                <w:color w:val="000000"/>
                <w:sz w:val="22"/>
                <w:szCs w:val="22"/>
              </w:rPr>
            </w:pPr>
            <w:r w:rsidRPr="00F01C67">
              <w:rPr>
                <w:color w:val="000000"/>
                <w:sz w:val="22"/>
                <w:szCs w:val="22"/>
              </w:rPr>
              <w:t>7</w:t>
            </w:r>
            <w:r w:rsidR="002E5AB1">
              <w:rPr>
                <w:color w:val="000000"/>
                <w:sz w:val="22"/>
                <w:szCs w:val="22"/>
              </w:rPr>
              <w:t>.</w:t>
            </w:r>
            <w:r w:rsidRPr="00F01C67">
              <w:rPr>
                <w:color w:val="000000"/>
                <w:sz w:val="22"/>
                <w:szCs w:val="22"/>
              </w:rPr>
              <w:t>300</w:t>
            </w:r>
            <w:r w:rsidR="002E5AB1">
              <w:rPr>
                <w:color w:val="000000"/>
                <w:sz w:val="22"/>
                <w:szCs w:val="22"/>
              </w:rPr>
              <w:t>.</w:t>
            </w:r>
            <w:r w:rsidRPr="00F01C67">
              <w:rPr>
                <w:color w:val="000000"/>
                <w:sz w:val="22"/>
                <w:szCs w:val="22"/>
              </w:rPr>
              <w:t>000</w:t>
            </w:r>
            <w:r w:rsidR="002E5AB1">
              <w:rPr>
                <w:color w:val="000000"/>
                <w:sz w:val="22"/>
                <w:szCs w:val="22"/>
              </w:rPr>
              <w:t>,</w:t>
            </w:r>
            <w:r w:rsidRPr="00F01C67">
              <w:rPr>
                <w:color w:val="000000"/>
                <w:sz w:val="22"/>
                <w:szCs w:val="22"/>
              </w:rPr>
              <w:t>00 €</w:t>
            </w:r>
          </w:p>
        </w:tc>
      </w:tr>
      <w:tr w:rsidR="001C60EB" w14:paraId="5C02795D" w14:textId="77777777" w:rsidTr="00F01C67">
        <w:trPr>
          <w:trHeight w:val="250"/>
        </w:trPr>
        <w:tc>
          <w:tcPr>
            <w:tcW w:w="785" w:type="dxa"/>
            <w:tcBorders>
              <w:top w:val="single" w:sz="8" w:space="0" w:color="auto"/>
              <w:left w:val="single" w:sz="8" w:space="0" w:color="auto"/>
              <w:bottom w:val="nil"/>
              <w:right w:val="single" w:sz="4" w:space="0" w:color="auto"/>
            </w:tcBorders>
            <w:shd w:val="clear" w:color="000000" w:fill="D9D9D9"/>
            <w:vAlign w:val="bottom"/>
            <w:hideMark/>
          </w:tcPr>
          <w:p w14:paraId="3A4F5A0F" w14:textId="77777777" w:rsidR="001C60EB" w:rsidRDefault="001C60EB" w:rsidP="002E5AC9">
            <w:pPr>
              <w:rPr>
                <w:rFonts w:ascii="Calibri" w:hAnsi="Calibri" w:cs="Calibri"/>
                <w:b/>
                <w:bCs/>
                <w:color w:val="000000"/>
              </w:rPr>
            </w:pPr>
            <w:r>
              <w:rPr>
                <w:rFonts w:ascii="Calibri" w:hAnsi="Calibri" w:cs="Calibri"/>
                <w:b/>
                <w:bCs/>
                <w:color w:val="000000"/>
              </w:rPr>
              <w:t> </w:t>
            </w:r>
          </w:p>
        </w:tc>
        <w:tc>
          <w:tcPr>
            <w:tcW w:w="1836" w:type="dxa"/>
            <w:tcBorders>
              <w:top w:val="single" w:sz="8" w:space="0" w:color="auto"/>
              <w:left w:val="nil"/>
              <w:bottom w:val="nil"/>
              <w:right w:val="single" w:sz="4" w:space="0" w:color="auto"/>
            </w:tcBorders>
            <w:shd w:val="clear" w:color="000000" w:fill="D9D9D9"/>
            <w:vAlign w:val="bottom"/>
            <w:hideMark/>
          </w:tcPr>
          <w:p w14:paraId="113EC928" w14:textId="77777777" w:rsidR="001C60EB" w:rsidRPr="00997784" w:rsidRDefault="001C60EB" w:rsidP="002E5AC9">
            <w:pPr>
              <w:rPr>
                <w:b/>
                <w:bCs/>
                <w:color w:val="000000"/>
                <w:sz w:val="20"/>
                <w:szCs w:val="20"/>
              </w:rPr>
            </w:pPr>
            <w:r w:rsidRPr="00997784">
              <w:rPr>
                <w:b/>
                <w:bCs/>
                <w:color w:val="000000"/>
                <w:sz w:val="20"/>
                <w:szCs w:val="20"/>
              </w:rPr>
              <w:t>UKUPNI PRIHODI</w:t>
            </w:r>
          </w:p>
        </w:tc>
        <w:tc>
          <w:tcPr>
            <w:tcW w:w="1667" w:type="dxa"/>
            <w:tcBorders>
              <w:top w:val="single" w:sz="8" w:space="0" w:color="auto"/>
              <w:left w:val="nil"/>
              <w:bottom w:val="nil"/>
              <w:right w:val="single" w:sz="4" w:space="0" w:color="auto"/>
            </w:tcBorders>
            <w:shd w:val="clear" w:color="000000" w:fill="D9D9D9"/>
            <w:vAlign w:val="bottom"/>
            <w:hideMark/>
          </w:tcPr>
          <w:p w14:paraId="30B7BB47" w14:textId="34B45773" w:rsidR="001C60EB" w:rsidRPr="00F01C67" w:rsidRDefault="001C60EB" w:rsidP="002E5AC9">
            <w:pPr>
              <w:jc w:val="center"/>
              <w:rPr>
                <w:b/>
                <w:bCs/>
                <w:color w:val="000000"/>
                <w:sz w:val="22"/>
                <w:szCs w:val="22"/>
              </w:rPr>
            </w:pPr>
            <w:r w:rsidRPr="00F01C67">
              <w:rPr>
                <w:b/>
                <w:bCs/>
                <w:color w:val="000000"/>
                <w:sz w:val="22"/>
                <w:szCs w:val="22"/>
              </w:rPr>
              <w:t>11</w:t>
            </w:r>
            <w:r w:rsidR="002E5AB1">
              <w:rPr>
                <w:b/>
                <w:bCs/>
                <w:color w:val="000000"/>
                <w:sz w:val="22"/>
                <w:szCs w:val="22"/>
              </w:rPr>
              <w:t>.</w:t>
            </w:r>
            <w:r w:rsidRPr="00F01C67">
              <w:rPr>
                <w:b/>
                <w:bCs/>
                <w:color w:val="000000"/>
                <w:sz w:val="22"/>
                <w:szCs w:val="22"/>
              </w:rPr>
              <w:t>163</w:t>
            </w:r>
            <w:r w:rsidR="002E5AB1">
              <w:rPr>
                <w:b/>
                <w:bCs/>
                <w:color w:val="000000"/>
                <w:sz w:val="22"/>
                <w:szCs w:val="22"/>
              </w:rPr>
              <w:t>.</w:t>
            </w:r>
            <w:r w:rsidRPr="00F01C67">
              <w:rPr>
                <w:b/>
                <w:bCs/>
                <w:color w:val="000000"/>
                <w:sz w:val="22"/>
                <w:szCs w:val="22"/>
              </w:rPr>
              <w:t>617</w:t>
            </w:r>
            <w:r w:rsidR="002E5AB1">
              <w:rPr>
                <w:b/>
                <w:bCs/>
                <w:color w:val="000000"/>
                <w:sz w:val="22"/>
                <w:szCs w:val="22"/>
              </w:rPr>
              <w:t>,</w:t>
            </w:r>
            <w:r w:rsidRPr="00F01C67">
              <w:rPr>
                <w:b/>
                <w:bCs/>
                <w:color w:val="000000"/>
                <w:sz w:val="22"/>
                <w:szCs w:val="22"/>
              </w:rPr>
              <w:t>95 €</w:t>
            </w:r>
          </w:p>
        </w:tc>
        <w:tc>
          <w:tcPr>
            <w:tcW w:w="1667" w:type="dxa"/>
            <w:tcBorders>
              <w:top w:val="single" w:sz="8" w:space="0" w:color="auto"/>
              <w:left w:val="nil"/>
              <w:bottom w:val="nil"/>
              <w:right w:val="single" w:sz="4" w:space="0" w:color="auto"/>
            </w:tcBorders>
            <w:shd w:val="clear" w:color="000000" w:fill="D9D9D9"/>
            <w:vAlign w:val="bottom"/>
            <w:hideMark/>
          </w:tcPr>
          <w:p w14:paraId="13987208" w14:textId="2B99FF62" w:rsidR="001C60EB" w:rsidRPr="00F01C67" w:rsidRDefault="001C60EB" w:rsidP="002E5AC9">
            <w:pPr>
              <w:jc w:val="center"/>
              <w:rPr>
                <w:b/>
                <w:bCs/>
                <w:color w:val="000000"/>
                <w:sz w:val="22"/>
                <w:szCs w:val="22"/>
              </w:rPr>
            </w:pPr>
            <w:r w:rsidRPr="00F01C67">
              <w:rPr>
                <w:b/>
                <w:bCs/>
                <w:color w:val="000000"/>
                <w:sz w:val="22"/>
                <w:szCs w:val="22"/>
              </w:rPr>
              <w:t>13</w:t>
            </w:r>
            <w:r w:rsidR="002E5AB1">
              <w:rPr>
                <w:b/>
                <w:bCs/>
                <w:color w:val="000000"/>
                <w:sz w:val="22"/>
                <w:szCs w:val="22"/>
              </w:rPr>
              <w:t>.</w:t>
            </w:r>
            <w:r w:rsidRPr="00F01C67">
              <w:rPr>
                <w:b/>
                <w:bCs/>
                <w:color w:val="000000"/>
                <w:sz w:val="22"/>
                <w:szCs w:val="22"/>
              </w:rPr>
              <w:t>352</w:t>
            </w:r>
            <w:r w:rsidR="002E5AB1">
              <w:rPr>
                <w:b/>
                <w:bCs/>
                <w:color w:val="000000"/>
                <w:sz w:val="22"/>
                <w:szCs w:val="22"/>
              </w:rPr>
              <w:t>.</w:t>
            </w:r>
            <w:r w:rsidRPr="00F01C67">
              <w:rPr>
                <w:b/>
                <w:bCs/>
                <w:color w:val="000000"/>
                <w:sz w:val="22"/>
                <w:szCs w:val="22"/>
              </w:rPr>
              <w:t>461</w:t>
            </w:r>
            <w:r w:rsidR="002E5AB1">
              <w:rPr>
                <w:b/>
                <w:bCs/>
                <w:color w:val="000000"/>
                <w:sz w:val="22"/>
                <w:szCs w:val="22"/>
              </w:rPr>
              <w:t>,</w:t>
            </w:r>
            <w:r w:rsidRPr="00F01C67">
              <w:rPr>
                <w:b/>
                <w:bCs/>
                <w:color w:val="000000"/>
                <w:sz w:val="22"/>
                <w:szCs w:val="22"/>
              </w:rPr>
              <w:t>72 €</w:t>
            </w:r>
          </w:p>
        </w:tc>
        <w:tc>
          <w:tcPr>
            <w:tcW w:w="1581" w:type="dxa"/>
            <w:tcBorders>
              <w:top w:val="single" w:sz="8" w:space="0" w:color="auto"/>
              <w:left w:val="nil"/>
              <w:bottom w:val="nil"/>
              <w:right w:val="single" w:sz="4" w:space="0" w:color="auto"/>
            </w:tcBorders>
            <w:shd w:val="clear" w:color="000000" w:fill="D9D9D9"/>
            <w:noWrap/>
            <w:vAlign w:val="bottom"/>
            <w:hideMark/>
          </w:tcPr>
          <w:p w14:paraId="5A5B4B36" w14:textId="4D9E4CE6" w:rsidR="001C60EB" w:rsidRPr="00F01C67" w:rsidRDefault="001C60EB" w:rsidP="002E5AC9">
            <w:pPr>
              <w:jc w:val="center"/>
              <w:rPr>
                <w:b/>
                <w:bCs/>
                <w:color w:val="000000"/>
                <w:sz w:val="22"/>
                <w:szCs w:val="22"/>
              </w:rPr>
            </w:pPr>
            <w:r w:rsidRPr="00F01C67">
              <w:rPr>
                <w:b/>
                <w:bCs/>
                <w:color w:val="000000"/>
                <w:sz w:val="22"/>
                <w:szCs w:val="22"/>
              </w:rPr>
              <w:t>2</w:t>
            </w:r>
            <w:r w:rsidR="002E5AB1">
              <w:rPr>
                <w:b/>
                <w:bCs/>
                <w:color w:val="000000"/>
                <w:sz w:val="22"/>
                <w:szCs w:val="22"/>
              </w:rPr>
              <w:t>.</w:t>
            </w:r>
            <w:r w:rsidRPr="00F01C67">
              <w:rPr>
                <w:b/>
                <w:bCs/>
                <w:color w:val="000000"/>
                <w:sz w:val="22"/>
                <w:szCs w:val="22"/>
              </w:rPr>
              <w:t>512</w:t>
            </w:r>
            <w:r w:rsidR="002E5AB1">
              <w:rPr>
                <w:b/>
                <w:bCs/>
                <w:color w:val="000000"/>
                <w:sz w:val="22"/>
                <w:szCs w:val="22"/>
              </w:rPr>
              <w:t>.</w:t>
            </w:r>
            <w:r w:rsidRPr="00F01C67">
              <w:rPr>
                <w:b/>
                <w:bCs/>
                <w:color w:val="000000"/>
                <w:sz w:val="22"/>
                <w:szCs w:val="22"/>
              </w:rPr>
              <w:t>558</w:t>
            </w:r>
            <w:r w:rsidR="002E5AB1">
              <w:rPr>
                <w:b/>
                <w:bCs/>
                <w:color w:val="000000"/>
                <w:sz w:val="22"/>
                <w:szCs w:val="22"/>
              </w:rPr>
              <w:t>,</w:t>
            </w:r>
            <w:r w:rsidRPr="00F01C67">
              <w:rPr>
                <w:b/>
                <w:bCs/>
                <w:color w:val="000000"/>
                <w:sz w:val="22"/>
                <w:szCs w:val="22"/>
              </w:rPr>
              <w:t>18 €</w:t>
            </w:r>
          </w:p>
        </w:tc>
        <w:tc>
          <w:tcPr>
            <w:tcW w:w="3745" w:type="dxa"/>
            <w:tcBorders>
              <w:top w:val="single" w:sz="8" w:space="0" w:color="auto"/>
              <w:left w:val="nil"/>
              <w:bottom w:val="nil"/>
              <w:right w:val="single" w:sz="8" w:space="0" w:color="auto"/>
            </w:tcBorders>
            <w:shd w:val="clear" w:color="000000" w:fill="D9D9D9"/>
            <w:vAlign w:val="bottom"/>
            <w:hideMark/>
          </w:tcPr>
          <w:p w14:paraId="7B613A32" w14:textId="4D62DEE1" w:rsidR="001C60EB" w:rsidRPr="00F01C67" w:rsidRDefault="001C60EB" w:rsidP="002E5AC9">
            <w:pPr>
              <w:jc w:val="center"/>
              <w:rPr>
                <w:b/>
                <w:bCs/>
                <w:color w:val="000000"/>
                <w:sz w:val="22"/>
                <w:szCs w:val="22"/>
              </w:rPr>
            </w:pPr>
            <w:r w:rsidRPr="00F01C67">
              <w:rPr>
                <w:b/>
                <w:bCs/>
                <w:color w:val="000000"/>
                <w:sz w:val="22"/>
                <w:szCs w:val="22"/>
              </w:rPr>
              <w:t>7</w:t>
            </w:r>
            <w:r w:rsidR="002E5AB1">
              <w:rPr>
                <w:b/>
                <w:bCs/>
                <w:color w:val="000000"/>
                <w:sz w:val="22"/>
                <w:szCs w:val="22"/>
              </w:rPr>
              <w:t>.</w:t>
            </w:r>
            <w:r w:rsidRPr="00F01C67">
              <w:rPr>
                <w:b/>
                <w:bCs/>
                <w:color w:val="000000"/>
                <w:sz w:val="22"/>
                <w:szCs w:val="22"/>
              </w:rPr>
              <w:t>750</w:t>
            </w:r>
            <w:r w:rsidR="002E5AB1">
              <w:rPr>
                <w:b/>
                <w:bCs/>
                <w:color w:val="000000"/>
                <w:sz w:val="22"/>
                <w:szCs w:val="22"/>
              </w:rPr>
              <w:t>.</w:t>
            </w:r>
            <w:r w:rsidRPr="00F01C67">
              <w:rPr>
                <w:b/>
                <w:bCs/>
                <w:color w:val="000000"/>
                <w:sz w:val="22"/>
                <w:szCs w:val="22"/>
              </w:rPr>
              <w:t>000</w:t>
            </w:r>
            <w:r w:rsidR="002E5AB1">
              <w:rPr>
                <w:b/>
                <w:bCs/>
                <w:color w:val="000000"/>
                <w:sz w:val="22"/>
                <w:szCs w:val="22"/>
              </w:rPr>
              <w:t>,</w:t>
            </w:r>
            <w:r w:rsidRPr="00F01C67">
              <w:rPr>
                <w:b/>
                <w:bCs/>
                <w:color w:val="000000"/>
                <w:sz w:val="22"/>
                <w:szCs w:val="22"/>
              </w:rPr>
              <w:t>00 €</w:t>
            </w:r>
          </w:p>
        </w:tc>
      </w:tr>
      <w:tr w:rsidR="001C60EB" w14:paraId="69E6A7B9" w14:textId="77777777" w:rsidTr="00F01C67">
        <w:trPr>
          <w:trHeight w:val="250"/>
        </w:trPr>
        <w:tc>
          <w:tcPr>
            <w:tcW w:w="785"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65F6BF85" w14:textId="77777777" w:rsidR="001C60EB" w:rsidRDefault="001C60EB" w:rsidP="002E5AC9">
            <w:pPr>
              <w:rPr>
                <w:rFonts w:ascii="Calibri" w:hAnsi="Calibri" w:cs="Calibri"/>
                <w:color w:val="000000"/>
              </w:rPr>
            </w:pPr>
            <w:r>
              <w:rPr>
                <w:rFonts w:ascii="Calibri" w:hAnsi="Calibri" w:cs="Calibri"/>
                <w:color w:val="000000"/>
              </w:rPr>
              <w:t>1.3.</w:t>
            </w:r>
          </w:p>
        </w:tc>
        <w:tc>
          <w:tcPr>
            <w:tcW w:w="1836" w:type="dxa"/>
            <w:tcBorders>
              <w:top w:val="single" w:sz="4" w:space="0" w:color="auto"/>
              <w:left w:val="nil"/>
              <w:bottom w:val="single" w:sz="4" w:space="0" w:color="auto"/>
              <w:right w:val="single" w:sz="4" w:space="0" w:color="auto"/>
            </w:tcBorders>
            <w:shd w:val="clear" w:color="000000" w:fill="F2F2F2"/>
            <w:vAlign w:val="bottom"/>
            <w:hideMark/>
          </w:tcPr>
          <w:p w14:paraId="461E503F" w14:textId="77777777" w:rsidR="001C60EB" w:rsidRPr="00997784" w:rsidRDefault="001C60EB" w:rsidP="002E5AC9">
            <w:pPr>
              <w:rPr>
                <w:color w:val="000000"/>
                <w:sz w:val="20"/>
                <w:szCs w:val="20"/>
              </w:rPr>
            </w:pPr>
            <w:r w:rsidRPr="00997784">
              <w:rPr>
                <w:color w:val="000000"/>
                <w:sz w:val="20"/>
                <w:szCs w:val="20"/>
              </w:rPr>
              <w:t>Grantovi za realizaciju projekata ZKF</w:t>
            </w:r>
          </w:p>
        </w:tc>
        <w:tc>
          <w:tcPr>
            <w:tcW w:w="1667" w:type="dxa"/>
            <w:tcBorders>
              <w:top w:val="single" w:sz="4" w:space="0" w:color="auto"/>
              <w:left w:val="nil"/>
              <w:bottom w:val="single" w:sz="4" w:space="0" w:color="auto"/>
              <w:right w:val="single" w:sz="4" w:space="0" w:color="auto"/>
            </w:tcBorders>
            <w:shd w:val="clear" w:color="000000" w:fill="F2F2F2"/>
            <w:vAlign w:val="bottom"/>
            <w:hideMark/>
          </w:tcPr>
          <w:p w14:paraId="13F94F31" w14:textId="77777777" w:rsidR="001C60EB" w:rsidRPr="00F01C67" w:rsidRDefault="001C60EB" w:rsidP="002E5AC9">
            <w:pPr>
              <w:jc w:val="center"/>
              <w:rPr>
                <w:color w:val="000000"/>
                <w:sz w:val="22"/>
                <w:szCs w:val="22"/>
              </w:rPr>
            </w:pPr>
            <w:r w:rsidRPr="00F01C67">
              <w:rPr>
                <w:color w:val="000000"/>
                <w:sz w:val="22"/>
                <w:szCs w:val="22"/>
              </w:rPr>
              <w:t>$0.00</w:t>
            </w:r>
          </w:p>
        </w:tc>
        <w:tc>
          <w:tcPr>
            <w:tcW w:w="1667" w:type="dxa"/>
            <w:tcBorders>
              <w:top w:val="single" w:sz="4" w:space="0" w:color="auto"/>
              <w:left w:val="nil"/>
              <w:bottom w:val="single" w:sz="4" w:space="0" w:color="auto"/>
              <w:right w:val="single" w:sz="4" w:space="0" w:color="auto"/>
            </w:tcBorders>
            <w:shd w:val="clear" w:color="000000" w:fill="F2F2F2"/>
            <w:vAlign w:val="bottom"/>
            <w:hideMark/>
          </w:tcPr>
          <w:p w14:paraId="5E5FB728" w14:textId="77777777" w:rsidR="001C60EB" w:rsidRPr="00F01C67" w:rsidRDefault="001C60EB" w:rsidP="002E5AC9">
            <w:pPr>
              <w:jc w:val="center"/>
              <w:rPr>
                <w:color w:val="000000"/>
                <w:sz w:val="22"/>
                <w:szCs w:val="22"/>
              </w:rPr>
            </w:pPr>
            <w:r w:rsidRPr="00F01C67">
              <w:rPr>
                <w:color w:val="000000"/>
                <w:sz w:val="22"/>
                <w:szCs w:val="22"/>
              </w:rPr>
              <w:t> </w:t>
            </w:r>
          </w:p>
        </w:tc>
        <w:tc>
          <w:tcPr>
            <w:tcW w:w="1581" w:type="dxa"/>
            <w:tcBorders>
              <w:top w:val="single" w:sz="4" w:space="0" w:color="auto"/>
              <w:left w:val="nil"/>
              <w:bottom w:val="single" w:sz="4" w:space="0" w:color="auto"/>
              <w:right w:val="single" w:sz="4" w:space="0" w:color="auto"/>
            </w:tcBorders>
            <w:shd w:val="clear" w:color="000000" w:fill="F2F2F2"/>
            <w:noWrap/>
            <w:vAlign w:val="bottom"/>
            <w:hideMark/>
          </w:tcPr>
          <w:p w14:paraId="190267C1" w14:textId="77777777" w:rsidR="001C60EB" w:rsidRPr="00F01C67" w:rsidRDefault="001C60EB" w:rsidP="002E5AC9">
            <w:pPr>
              <w:jc w:val="center"/>
              <w:rPr>
                <w:color w:val="000000"/>
                <w:sz w:val="22"/>
                <w:szCs w:val="22"/>
              </w:rPr>
            </w:pPr>
            <w:r w:rsidRPr="00F01C67">
              <w:rPr>
                <w:color w:val="000000"/>
                <w:sz w:val="22"/>
                <w:szCs w:val="22"/>
              </w:rPr>
              <w:t> </w:t>
            </w:r>
          </w:p>
        </w:tc>
        <w:tc>
          <w:tcPr>
            <w:tcW w:w="3745" w:type="dxa"/>
            <w:tcBorders>
              <w:top w:val="single" w:sz="4" w:space="0" w:color="auto"/>
              <w:left w:val="nil"/>
              <w:bottom w:val="single" w:sz="4" w:space="0" w:color="auto"/>
              <w:right w:val="single" w:sz="4" w:space="0" w:color="auto"/>
            </w:tcBorders>
            <w:shd w:val="clear" w:color="000000" w:fill="F2F2F2"/>
            <w:vAlign w:val="bottom"/>
            <w:hideMark/>
          </w:tcPr>
          <w:p w14:paraId="0C531203" w14:textId="069362F8" w:rsidR="001C60EB" w:rsidRPr="00F01C67" w:rsidRDefault="001C60EB" w:rsidP="002E5AC9">
            <w:pPr>
              <w:jc w:val="center"/>
              <w:rPr>
                <w:color w:val="000000"/>
                <w:sz w:val="22"/>
                <w:szCs w:val="22"/>
              </w:rPr>
            </w:pPr>
            <w:r w:rsidRPr="00F01C67">
              <w:rPr>
                <w:color w:val="000000"/>
                <w:sz w:val="22"/>
                <w:szCs w:val="22"/>
              </w:rPr>
              <w:t>$120</w:t>
            </w:r>
            <w:r w:rsidR="002E5AB1">
              <w:rPr>
                <w:color w:val="000000"/>
                <w:sz w:val="22"/>
                <w:szCs w:val="22"/>
              </w:rPr>
              <w:t>.</w:t>
            </w:r>
            <w:r w:rsidRPr="00F01C67">
              <w:rPr>
                <w:color w:val="000000"/>
                <w:sz w:val="22"/>
                <w:szCs w:val="22"/>
              </w:rPr>
              <w:t>000</w:t>
            </w:r>
            <w:r w:rsidR="002E5AB1">
              <w:rPr>
                <w:color w:val="000000"/>
                <w:sz w:val="22"/>
                <w:szCs w:val="22"/>
              </w:rPr>
              <w:t>,</w:t>
            </w:r>
            <w:r w:rsidRPr="00F01C67">
              <w:rPr>
                <w:color w:val="000000"/>
                <w:sz w:val="22"/>
                <w:szCs w:val="22"/>
              </w:rPr>
              <w:t>00</w:t>
            </w:r>
          </w:p>
        </w:tc>
      </w:tr>
      <w:tr w:rsidR="001C60EB" w14:paraId="10E61D45" w14:textId="77777777" w:rsidTr="00F01C67">
        <w:trPr>
          <w:trHeight w:val="250"/>
        </w:trPr>
        <w:tc>
          <w:tcPr>
            <w:tcW w:w="785" w:type="dxa"/>
            <w:tcBorders>
              <w:top w:val="nil"/>
              <w:left w:val="single" w:sz="4" w:space="0" w:color="auto"/>
              <w:bottom w:val="single" w:sz="4" w:space="0" w:color="auto"/>
              <w:right w:val="single" w:sz="4" w:space="0" w:color="auto"/>
            </w:tcBorders>
            <w:shd w:val="clear" w:color="000000" w:fill="F2F2F2"/>
            <w:vAlign w:val="bottom"/>
            <w:hideMark/>
          </w:tcPr>
          <w:p w14:paraId="50BD4B9B" w14:textId="77777777" w:rsidR="001C60EB" w:rsidRDefault="001C60EB" w:rsidP="002E5AC9">
            <w:pPr>
              <w:rPr>
                <w:rFonts w:ascii="Calibri" w:hAnsi="Calibri" w:cs="Calibri"/>
                <w:color w:val="000000"/>
              </w:rPr>
            </w:pPr>
            <w:r>
              <w:rPr>
                <w:rFonts w:ascii="Calibri" w:hAnsi="Calibri" w:cs="Calibri"/>
                <w:color w:val="000000"/>
              </w:rPr>
              <w:t> </w:t>
            </w:r>
          </w:p>
        </w:tc>
        <w:tc>
          <w:tcPr>
            <w:tcW w:w="1836" w:type="dxa"/>
            <w:tcBorders>
              <w:top w:val="nil"/>
              <w:left w:val="nil"/>
              <w:bottom w:val="single" w:sz="4" w:space="0" w:color="auto"/>
              <w:right w:val="single" w:sz="4" w:space="0" w:color="auto"/>
            </w:tcBorders>
            <w:shd w:val="clear" w:color="000000" w:fill="F2F2F2"/>
            <w:vAlign w:val="bottom"/>
            <w:hideMark/>
          </w:tcPr>
          <w:p w14:paraId="090A6CA0" w14:textId="77777777" w:rsidR="001C60EB" w:rsidRPr="00997784" w:rsidRDefault="001C60EB" w:rsidP="002E5AC9">
            <w:pPr>
              <w:rPr>
                <w:color w:val="000000"/>
                <w:sz w:val="20"/>
                <w:szCs w:val="20"/>
              </w:rPr>
            </w:pPr>
            <w:r w:rsidRPr="00997784">
              <w:rPr>
                <w:color w:val="000000"/>
                <w:sz w:val="20"/>
                <w:szCs w:val="20"/>
              </w:rPr>
              <w:t> </w:t>
            </w:r>
          </w:p>
        </w:tc>
        <w:tc>
          <w:tcPr>
            <w:tcW w:w="1667" w:type="dxa"/>
            <w:tcBorders>
              <w:top w:val="nil"/>
              <w:left w:val="nil"/>
              <w:bottom w:val="single" w:sz="4" w:space="0" w:color="auto"/>
              <w:right w:val="single" w:sz="4" w:space="0" w:color="auto"/>
            </w:tcBorders>
            <w:shd w:val="clear" w:color="000000" w:fill="F2F2F2"/>
            <w:vAlign w:val="bottom"/>
            <w:hideMark/>
          </w:tcPr>
          <w:p w14:paraId="6FF5FE81" w14:textId="77777777" w:rsidR="001C60EB" w:rsidRPr="00F01C67" w:rsidRDefault="001C60EB" w:rsidP="002E5AC9">
            <w:pPr>
              <w:jc w:val="center"/>
              <w:rPr>
                <w:color w:val="000000"/>
                <w:sz w:val="22"/>
                <w:szCs w:val="22"/>
              </w:rPr>
            </w:pPr>
            <w:r w:rsidRPr="00F01C67">
              <w:rPr>
                <w:color w:val="000000"/>
                <w:sz w:val="22"/>
                <w:szCs w:val="22"/>
              </w:rPr>
              <w:t>0.00 €</w:t>
            </w:r>
          </w:p>
        </w:tc>
        <w:tc>
          <w:tcPr>
            <w:tcW w:w="1667" w:type="dxa"/>
            <w:tcBorders>
              <w:top w:val="nil"/>
              <w:left w:val="nil"/>
              <w:bottom w:val="single" w:sz="4" w:space="0" w:color="auto"/>
              <w:right w:val="single" w:sz="4" w:space="0" w:color="auto"/>
            </w:tcBorders>
            <w:shd w:val="clear" w:color="000000" w:fill="F2F2F2"/>
            <w:vAlign w:val="bottom"/>
            <w:hideMark/>
          </w:tcPr>
          <w:p w14:paraId="4B318689" w14:textId="77777777" w:rsidR="001C60EB" w:rsidRPr="00F01C67" w:rsidRDefault="001C60EB" w:rsidP="002E5AC9">
            <w:pPr>
              <w:jc w:val="center"/>
              <w:rPr>
                <w:color w:val="000000"/>
                <w:sz w:val="22"/>
                <w:szCs w:val="22"/>
              </w:rPr>
            </w:pPr>
            <w:r w:rsidRPr="00F01C67">
              <w:rPr>
                <w:color w:val="000000"/>
                <w:sz w:val="22"/>
                <w:szCs w:val="22"/>
              </w:rPr>
              <w:t> </w:t>
            </w:r>
          </w:p>
        </w:tc>
        <w:tc>
          <w:tcPr>
            <w:tcW w:w="1581" w:type="dxa"/>
            <w:tcBorders>
              <w:top w:val="nil"/>
              <w:left w:val="nil"/>
              <w:bottom w:val="single" w:sz="4" w:space="0" w:color="auto"/>
              <w:right w:val="single" w:sz="4" w:space="0" w:color="auto"/>
            </w:tcBorders>
            <w:shd w:val="clear" w:color="000000" w:fill="F2F2F2"/>
            <w:noWrap/>
            <w:vAlign w:val="bottom"/>
            <w:hideMark/>
          </w:tcPr>
          <w:p w14:paraId="4603105C" w14:textId="77777777" w:rsidR="001C60EB" w:rsidRPr="00F01C67" w:rsidRDefault="001C60EB" w:rsidP="002E5AC9">
            <w:pPr>
              <w:jc w:val="center"/>
              <w:rPr>
                <w:color w:val="000000"/>
                <w:sz w:val="22"/>
                <w:szCs w:val="22"/>
              </w:rPr>
            </w:pPr>
            <w:r w:rsidRPr="00F01C67">
              <w:rPr>
                <w:color w:val="000000"/>
                <w:sz w:val="22"/>
                <w:szCs w:val="22"/>
              </w:rPr>
              <w:t> </w:t>
            </w:r>
          </w:p>
        </w:tc>
        <w:tc>
          <w:tcPr>
            <w:tcW w:w="3745" w:type="dxa"/>
            <w:tcBorders>
              <w:top w:val="nil"/>
              <w:left w:val="nil"/>
              <w:bottom w:val="single" w:sz="4" w:space="0" w:color="auto"/>
              <w:right w:val="single" w:sz="4" w:space="0" w:color="auto"/>
            </w:tcBorders>
            <w:shd w:val="clear" w:color="000000" w:fill="F2F2F2"/>
            <w:vAlign w:val="bottom"/>
            <w:hideMark/>
          </w:tcPr>
          <w:p w14:paraId="7E97640C" w14:textId="1C56214F" w:rsidR="001C60EB" w:rsidRPr="00F01C67" w:rsidRDefault="001C60EB" w:rsidP="002E5AC9">
            <w:pPr>
              <w:jc w:val="center"/>
              <w:rPr>
                <w:color w:val="000000"/>
                <w:sz w:val="22"/>
                <w:szCs w:val="22"/>
              </w:rPr>
            </w:pPr>
            <w:r w:rsidRPr="00F01C67">
              <w:rPr>
                <w:color w:val="000000"/>
                <w:sz w:val="22"/>
                <w:szCs w:val="22"/>
              </w:rPr>
              <w:t>110</w:t>
            </w:r>
            <w:r w:rsidR="008851F6">
              <w:rPr>
                <w:color w:val="000000"/>
                <w:sz w:val="22"/>
                <w:szCs w:val="22"/>
              </w:rPr>
              <w:t>.</w:t>
            </w:r>
            <w:r w:rsidRPr="00F01C67">
              <w:rPr>
                <w:color w:val="000000"/>
                <w:sz w:val="22"/>
                <w:szCs w:val="22"/>
              </w:rPr>
              <w:t>000</w:t>
            </w:r>
            <w:r w:rsidR="008851F6">
              <w:rPr>
                <w:color w:val="000000"/>
                <w:sz w:val="22"/>
                <w:szCs w:val="22"/>
              </w:rPr>
              <w:t>,</w:t>
            </w:r>
            <w:r w:rsidRPr="00F01C67">
              <w:rPr>
                <w:color w:val="000000"/>
                <w:sz w:val="22"/>
                <w:szCs w:val="22"/>
              </w:rPr>
              <w:t>00 €</w:t>
            </w:r>
          </w:p>
        </w:tc>
      </w:tr>
      <w:tr w:rsidR="001C60EB" w14:paraId="2D4050C2" w14:textId="77777777" w:rsidTr="00F01C67">
        <w:trPr>
          <w:trHeight w:val="250"/>
        </w:trPr>
        <w:tc>
          <w:tcPr>
            <w:tcW w:w="785" w:type="dxa"/>
            <w:tcBorders>
              <w:top w:val="nil"/>
              <w:left w:val="single" w:sz="4" w:space="0" w:color="auto"/>
              <w:bottom w:val="single" w:sz="4" w:space="0" w:color="auto"/>
              <w:right w:val="single" w:sz="4" w:space="0" w:color="auto"/>
            </w:tcBorders>
            <w:shd w:val="clear" w:color="000000" w:fill="F2F2F2"/>
            <w:vAlign w:val="bottom"/>
            <w:hideMark/>
          </w:tcPr>
          <w:p w14:paraId="66FD8BBF" w14:textId="77777777" w:rsidR="001C60EB" w:rsidRDefault="001C60EB" w:rsidP="002E5AC9">
            <w:pPr>
              <w:rPr>
                <w:rFonts w:ascii="Calibri" w:hAnsi="Calibri" w:cs="Calibri"/>
                <w:color w:val="000000"/>
              </w:rPr>
            </w:pPr>
            <w:r>
              <w:rPr>
                <w:rFonts w:ascii="Calibri" w:hAnsi="Calibri" w:cs="Calibri"/>
                <w:color w:val="000000"/>
              </w:rPr>
              <w:t>1.4.</w:t>
            </w:r>
          </w:p>
        </w:tc>
        <w:tc>
          <w:tcPr>
            <w:tcW w:w="1836" w:type="dxa"/>
            <w:tcBorders>
              <w:top w:val="nil"/>
              <w:left w:val="nil"/>
              <w:bottom w:val="single" w:sz="4" w:space="0" w:color="auto"/>
              <w:right w:val="single" w:sz="4" w:space="0" w:color="auto"/>
            </w:tcBorders>
            <w:shd w:val="clear" w:color="000000" w:fill="F2F2F2"/>
            <w:vAlign w:val="bottom"/>
            <w:hideMark/>
          </w:tcPr>
          <w:p w14:paraId="27E71A9F" w14:textId="77777777" w:rsidR="001C60EB" w:rsidRPr="00997784" w:rsidRDefault="001C60EB" w:rsidP="002E5AC9">
            <w:pPr>
              <w:rPr>
                <w:color w:val="000000"/>
                <w:sz w:val="20"/>
                <w:szCs w:val="20"/>
              </w:rPr>
            </w:pPr>
            <w:r w:rsidRPr="00997784">
              <w:rPr>
                <w:color w:val="000000"/>
                <w:sz w:val="20"/>
                <w:szCs w:val="20"/>
              </w:rPr>
              <w:t>GEF - biodiverzitet</w:t>
            </w:r>
          </w:p>
        </w:tc>
        <w:tc>
          <w:tcPr>
            <w:tcW w:w="1667" w:type="dxa"/>
            <w:tcBorders>
              <w:top w:val="nil"/>
              <w:left w:val="nil"/>
              <w:bottom w:val="single" w:sz="4" w:space="0" w:color="auto"/>
              <w:right w:val="single" w:sz="4" w:space="0" w:color="auto"/>
            </w:tcBorders>
            <w:shd w:val="clear" w:color="000000" w:fill="F2F2F2"/>
            <w:vAlign w:val="bottom"/>
            <w:hideMark/>
          </w:tcPr>
          <w:p w14:paraId="67F4FF61" w14:textId="5A939E27" w:rsidR="001C60EB" w:rsidRPr="00F01C67" w:rsidRDefault="001C60EB" w:rsidP="002E5AC9">
            <w:pPr>
              <w:jc w:val="center"/>
              <w:rPr>
                <w:color w:val="000000"/>
                <w:sz w:val="22"/>
                <w:szCs w:val="22"/>
              </w:rPr>
            </w:pPr>
            <w:r w:rsidRPr="00F01C67">
              <w:rPr>
                <w:color w:val="000000"/>
                <w:sz w:val="22"/>
                <w:szCs w:val="22"/>
              </w:rPr>
              <w:t>350</w:t>
            </w:r>
            <w:r w:rsidR="008851F6">
              <w:rPr>
                <w:color w:val="000000"/>
                <w:sz w:val="22"/>
                <w:szCs w:val="22"/>
              </w:rPr>
              <w:t>.</w:t>
            </w:r>
            <w:r w:rsidRPr="00F01C67">
              <w:rPr>
                <w:color w:val="000000"/>
                <w:sz w:val="22"/>
                <w:szCs w:val="22"/>
              </w:rPr>
              <w:t>000</w:t>
            </w:r>
            <w:r w:rsidR="008851F6">
              <w:rPr>
                <w:color w:val="000000"/>
                <w:sz w:val="22"/>
                <w:szCs w:val="22"/>
              </w:rPr>
              <w:t>,</w:t>
            </w:r>
            <w:r w:rsidRPr="00F01C67">
              <w:rPr>
                <w:color w:val="000000"/>
                <w:sz w:val="22"/>
                <w:szCs w:val="22"/>
              </w:rPr>
              <w:t>00 €</w:t>
            </w:r>
          </w:p>
        </w:tc>
        <w:tc>
          <w:tcPr>
            <w:tcW w:w="1667" w:type="dxa"/>
            <w:tcBorders>
              <w:top w:val="nil"/>
              <w:left w:val="nil"/>
              <w:bottom w:val="single" w:sz="4" w:space="0" w:color="auto"/>
              <w:right w:val="single" w:sz="4" w:space="0" w:color="auto"/>
            </w:tcBorders>
            <w:shd w:val="clear" w:color="000000" w:fill="F2F2F2"/>
            <w:vAlign w:val="bottom"/>
            <w:hideMark/>
          </w:tcPr>
          <w:p w14:paraId="3CF6203A" w14:textId="77777777" w:rsidR="001C60EB" w:rsidRPr="00F01C67" w:rsidRDefault="001C60EB" w:rsidP="002E5AC9">
            <w:pPr>
              <w:jc w:val="center"/>
              <w:rPr>
                <w:color w:val="000000"/>
                <w:sz w:val="22"/>
                <w:szCs w:val="22"/>
              </w:rPr>
            </w:pPr>
            <w:r w:rsidRPr="00F01C67">
              <w:rPr>
                <w:color w:val="000000"/>
                <w:sz w:val="22"/>
                <w:szCs w:val="22"/>
              </w:rPr>
              <w:t> </w:t>
            </w:r>
          </w:p>
        </w:tc>
        <w:tc>
          <w:tcPr>
            <w:tcW w:w="1581" w:type="dxa"/>
            <w:tcBorders>
              <w:top w:val="nil"/>
              <w:left w:val="nil"/>
              <w:bottom w:val="single" w:sz="4" w:space="0" w:color="auto"/>
              <w:right w:val="single" w:sz="4" w:space="0" w:color="auto"/>
            </w:tcBorders>
            <w:shd w:val="clear" w:color="000000" w:fill="F2F2F2"/>
            <w:noWrap/>
            <w:vAlign w:val="bottom"/>
            <w:hideMark/>
          </w:tcPr>
          <w:p w14:paraId="493F31CD" w14:textId="77777777" w:rsidR="001C60EB" w:rsidRPr="00F01C67" w:rsidRDefault="001C60EB" w:rsidP="002E5AC9">
            <w:pPr>
              <w:jc w:val="center"/>
              <w:rPr>
                <w:color w:val="000000"/>
                <w:sz w:val="22"/>
                <w:szCs w:val="22"/>
              </w:rPr>
            </w:pPr>
            <w:r w:rsidRPr="00F01C67">
              <w:rPr>
                <w:color w:val="000000"/>
                <w:sz w:val="22"/>
                <w:szCs w:val="22"/>
              </w:rPr>
              <w:t> </w:t>
            </w:r>
          </w:p>
        </w:tc>
        <w:tc>
          <w:tcPr>
            <w:tcW w:w="3745" w:type="dxa"/>
            <w:tcBorders>
              <w:top w:val="nil"/>
              <w:left w:val="nil"/>
              <w:bottom w:val="single" w:sz="4" w:space="0" w:color="auto"/>
              <w:right w:val="single" w:sz="4" w:space="0" w:color="auto"/>
            </w:tcBorders>
            <w:shd w:val="clear" w:color="000000" w:fill="F2F2F2"/>
            <w:vAlign w:val="bottom"/>
            <w:hideMark/>
          </w:tcPr>
          <w:p w14:paraId="1866726C" w14:textId="77777777" w:rsidR="001C60EB" w:rsidRPr="00F01C67" w:rsidRDefault="001C60EB" w:rsidP="002E5AC9">
            <w:pPr>
              <w:jc w:val="center"/>
              <w:rPr>
                <w:color w:val="000000"/>
                <w:sz w:val="22"/>
                <w:szCs w:val="22"/>
              </w:rPr>
            </w:pPr>
            <w:r w:rsidRPr="00F01C67">
              <w:rPr>
                <w:color w:val="000000"/>
                <w:sz w:val="22"/>
                <w:szCs w:val="22"/>
              </w:rPr>
              <w:t> </w:t>
            </w:r>
          </w:p>
        </w:tc>
      </w:tr>
      <w:tr w:rsidR="001C60EB" w14:paraId="3E311C2F" w14:textId="77777777" w:rsidTr="00F01C67">
        <w:trPr>
          <w:trHeight w:val="502"/>
        </w:trPr>
        <w:tc>
          <w:tcPr>
            <w:tcW w:w="785" w:type="dxa"/>
            <w:tcBorders>
              <w:top w:val="nil"/>
              <w:left w:val="single" w:sz="4" w:space="0" w:color="auto"/>
              <w:bottom w:val="single" w:sz="4" w:space="0" w:color="auto"/>
              <w:right w:val="single" w:sz="4" w:space="0" w:color="auto"/>
            </w:tcBorders>
            <w:shd w:val="clear" w:color="000000" w:fill="F2F2F2"/>
            <w:vAlign w:val="bottom"/>
            <w:hideMark/>
          </w:tcPr>
          <w:p w14:paraId="1766ECCF" w14:textId="77777777" w:rsidR="001C60EB" w:rsidRDefault="001C60EB" w:rsidP="002E5AC9">
            <w:pPr>
              <w:rPr>
                <w:rFonts w:ascii="Calibri" w:hAnsi="Calibri" w:cs="Calibri"/>
                <w:color w:val="000000"/>
              </w:rPr>
            </w:pPr>
            <w:r>
              <w:rPr>
                <w:rFonts w:ascii="Calibri" w:hAnsi="Calibri" w:cs="Calibri"/>
                <w:color w:val="000000"/>
              </w:rPr>
              <w:t>1.5.</w:t>
            </w:r>
          </w:p>
        </w:tc>
        <w:tc>
          <w:tcPr>
            <w:tcW w:w="1836" w:type="dxa"/>
            <w:tcBorders>
              <w:top w:val="nil"/>
              <w:left w:val="nil"/>
              <w:bottom w:val="single" w:sz="4" w:space="0" w:color="auto"/>
              <w:right w:val="single" w:sz="4" w:space="0" w:color="auto"/>
            </w:tcBorders>
            <w:shd w:val="clear" w:color="000000" w:fill="F2F2F2"/>
            <w:vAlign w:val="bottom"/>
            <w:hideMark/>
          </w:tcPr>
          <w:p w14:paraId="62977BDE" w14:textId="77777777" w:rsidR="001C60EB" w:rsidRPr="00997784" w:rsidRDefault="001C60EB" w:rsidP="002E5AC9">
            <w:pPr>
              <w:rPr>
                <w:color w:val="000000"/>
                <w:sz w:val="20"/>
                <w:szCs w:val="20"/>
              </w:rPr>
            </w:pPr>
            <w:r w:rsidRPr="00997784">
              <w:rPr>
                <w:color w:val="000000"/>
                <w:sz w:val="20"/>
                <w:szCs w:val="20"/>
              </w:rPr>
              <w:t xml:space="preserve">Prilivi po osnovu programa za podsticanje energetske efikasnosti </w:t>
            </w:r>
          </w:p>
        </w:tc>
        <w:tc>
          <w:tcPr>
            <w:tcW w:w="1667" w:type="dxa"/>
            <w:tcBorders>
              <w:top w:val="nil"/>
              <w:left w:val="nil"/>
              <w:bottom w:val="single" w:sz="4" w:space="0" w:color="auto"/>
              <w:right w:val="single" w:sz="4" w:space="0" w:color="auto"/>
            </w:tcBorders>
            <w:shd w:val="clear" w:color="000000" w:fill="F2F2F2"/>
            <w:vAlign w:val="bottom"/>
            <w:hideMark/>
          </w:tcPr>
          <w:p w14:paraId="6877D61A" w14:textId="30607613" w:rsidR="001C60EB" w:rsidRPr="00F01C67" w:rsidRDefault="001C60EB" w:rsidP="002E5AC9">
            <w:pPr>
              <w:jc w:val="center"/>
              <w:rPr>
                <w:color w:val="000000"/>
                <w:sz w:val="22"/>
                <w:szCs w:val="22"/>
              </w:rPr>
            </w:pPr>
            <w:r w:rsidRPr="00F01C67">
              <w:rPr>
                <w:color w:val="000000"/>
                <w:sz w:val="22"/>
                <w:szCs w:val="22"/>
              </w:rPr>
              <w:t>11</w:t>
            </w:r>
            <w:r w:rsidR="008851F6">
              <w:rPr>
                <w:color w:val="000000"/>
                <w:sz w:val="22"/>
                <w:szCs w:val="22"/>
              </w:rPr>
              <w:t>.</w:t>
            </w:r>
            <w:r w:rsidRPr="00F01C67">
              <w:rPr>
                <w:color w:val="000000"/>
                <w:sz w:val="22"/>
                <w:szCs w:val="22"/>
              </w:rPr>
              <w:t>500</w:t>
            </w:r>
            <w:r w:rsidR="008851F6">
              <w:rPr>
                <w:color w:val="000000"/>
                <w:sz w:val="22"/>
                <w:szCs w:val="22"/>
              </w:rPr>
              <w:t>.</w:t>
            </w:r>
            <w:r w:rsidRPr="00F01C67">
              <w:rPr>
                <w:color w:val="000000"/>
                <w:sz w:val="22"/>
                <w:szCs w:val="22"/>
              </w:rPr>
              <w:t>000</w:t>
            </w:r>
            <w:r w:rsidR="008851F6">
              <w:rPr>
                <w:color w:val="000000"/>
                <w:sz w:val="22"/>
                <w:szCs w:val="22"/>
              </w:rPr>
              <w:t>,</w:t>
            </w:r>
            <w:r w:rsidRPr="00F01C67">
              <w:rPr>
                <w:color w:val="000000"/>
                <w:sz w:val="22"/>
                <w:szCs w:val="22"/>
              </w:rPr>
              <w:t>00 €</w:t>
            </w:r>
          </w:p>
        </w:tc>
        <w:tc>
          <w:tcPr>
            <w:tcW w:w="1667" w:type="dxa"/>
            <w:tcBorders>
              <w:top w:val="nil"/>
              <w:left w:val="nil"/>
              <w:bottom w:val="single" w:sz="4" w:space="0" w:color="auto"/>
              <w:right w:val="single" w:sz="4" w:space="0" w:color="auto"/>
            </w:tcBorders>
            <w:shd w:val="clear" w:color="000000" w:fill="F2F2F2"/>
            <w:vAlign w:val="bottom"/>
            <w:hideMark/>
          </w:tcPr>
          <w:p w14:paraId="585D9735" w14:textId="77777777" w:rsidR="001C60EB" w:rsidRPr="00F01C67" w:rsidRDefault="001C60EB" w:rsidP="002E5AC9">
            <w:pPr>
              <w:jc w:val="center"/>
              <w:rPr>
                <w:color w:val="000000"/>
                <w:sz w:val="22"/>
                <w:szCs w:val="22"/>
              </w:rPr>
            </w:pPr>
            <w:r w:rsidRPr="00F01C67">
              <w:rPr>
                <w:color w:val="000000"/>
                <w:sz w:val="22"/>
                <w:szCs w:val="22"/>
              </w:rPr>
              <w:t> </w:t>
            </w:r>
          </w:p>
        </w:tc>
        <w:tc>
          <w:tcPr>
            <w:tcW w:w="1581" w:type="dxa"/>
            <w:tcBorders>
              <w:top w:val="nil"/>
              <w:left w:val="nil"/>
              <w:bottom w:val="single" w:sz="4" w:space="0" w:color="auto"/>
              <w:right w:val="single" w:sz="4" w:space="0" w:color="auto"/>
            </w:tcBorders>
            <w:shd w:val="clear" w:color="000000" w:fill="F2F2F2"/>
            <w:noWrap/>
            <w:vAlign w:val="bottom"/>
            <w:hideMark/>
          </w:tcPr>
          <w:p w14:paraId="197EBE73" w14:textId="77777777" w:rsidR="001C60EB" w:rsidRPr="00F01C67" w:rsidRDefault="001C60EB" w:rsidP="002E5AC9">
            <w:pPr>
              <w:jc w:val="center"/>
              <w:rPr>
                <w:color w:val="000000"/>
                <w:sz w:val="22"/>
                <w:szCs w:val="22"/>
              </w:rPr>
            </w:pPr>
            <w:r w:rsidRPr="00F01C67">
              <w:rPr>
                <w:color w:val="000000"/>
                <w:sz w:val="22"/>
                <w:szCs w:val="22"/>
              </w:rPr>
              <w:t> </w:t>
            </w:r>
          </w:p>
        </w:tc>
        <w:tc>
          <w:tcPr>
            <w:tcW w:w="3745" w:type="dxa"/>
            <w:tcBorders>
              <w:top w:val="nil"/>
              <w:left w:val="nil"/>
              <w:bottom w:val="single" w:sz="4" w:space="0" w:color="auto"/>
              <w:right w:val="single" w:sz="4" w:space="0" w:color="auto"/>
            </w:tcBorders>
            <w:shd w:val="clear" w:color="000000" w:fill="F2F2F2"/>
            <w:vAlign w:val="bottom"/>
            <w:hideMark/>
          </w:tcPr>
          <w:p w14:paraId="2E5CEE5C" w14:textId="77777777" w:rsidR="001C60EB" w:rsidRPr="00F01C67" w:rsidRDefault="001C60EB" w:rsidP="002E5AC9">
            <w:pPr>
              <w:jc w:val="center"/>
              <w:rPr>
                <w:color w:val="000000"/>
                <w:sz w:val="22"/>
                <w:szCs w:val="22"/>
              </w:rPr>
            </w:pPr>
            <w:r w:rsidRPr="00F01C67">
              <w:rPr>
                <w:color w:val="000000"/>
                <w:sz w:val="22"/>
                <w:szCs w:val="22"/>
              </w:rPr>
              <w:t> </w:t>
            </w:r>
          </w:p>
        </w:tc>
      </w:tr>
      <w:tr w:rsidR="001C60EB" w14:paraId="66A644E7" w14:textId="77777777" w:rsidTr="00F01C67">
        <w:trPr>
          <w:trHeight w:val="502"/>
        </w:trPr>
        <w:tc>
          <w:tcPr>
            <w:tcW w:w="785" w:type="dxa"/>
            <w:tcBorders>
              <w:top w:val="nil"/>
              <w:left w:val="single" w:sz="4" w:space="0" w:color="auto"/>
              <w:bottom w:val="single" w:sz="4" w:space="0" w:color="auto"/>
              <w:right w:val="single" w:sz="4" w:space="0" w:color="auto"/>
            </w:tcBorders>
            <w:shd w:val="clear" w:color="000000" w:fill="F2F2F2"/>
            <w:vAlign w:val="bottom"/>
            <w:hideMark/>
          </w:tcPr>
          <w:p w14:paraId="7D130BF7" w14:textId="77777777" w:rsidR="001C60EB" w:rsidRDefault="001C60EB" w:rsidP="002E5AC9">
            <w:pPr>
              <w:rPr>
                <w:rFonts w:ascii="Calibri" w:hAnsi="Calibri" w:cs="Calibri"/>
                <w:color w:val="000000"/>
              </w:rPr>
            </w:pPr>
            <w:r>
              <w:rPr>
                <w:rFonts w:ascii="Calibri" w:hAnsi="Calibri" w:cs="Calibri"/>
                <w:color w:val="000000"/>
              </w:rPr>
              <w:t>1.6.</w:t>
            </w:r>
          </w:p>
        </w:tc>
        <w:tc>
          <w:tcPr>
            <w:tcW w:w="1836" w:type="dxa"/>
            <w:tcBorders>
              <w:top w:val="nil"/>
              <w:left w:val="nil"/>
              <w:bottom w:val="single" w:sz="4" w:space="0" w:color="auto"/>
              <w:right w:val="single" w:sz="4" w:space="0" w:color="auto"/>
            </w:tcBorders>
            <w:shd w:val="clear" w:color="000000" w:fill="F2F2F2"/>
            <w:vAlign w:val="bottom"/>
            <w:hideMark/>
          </w:tcPr>
          <w:p w14:paraId="5EBEFB37" w14:textId="77777777" w:rsidR="001C60EB" w:rsidRPr="00997784" w:rsidRDefault="001C60EB" w:rsidP="002E5AC9">
            <w:pPr>
              <w:rPr>
                <w:color w:val="000000"/>
                <w:sz w:val="20"/>
                <w:szCs w:val="20"/>
              </w:rPr>
            </w:pPr>
            <w:r w:rsidRPr="00997784">
              <w:rPr>
                <w:color w:val="000000"/>
                <w:sz w:val="20"/>
                <w:szCs w:val="20"/>
              </w:rPr>
              <w:t>Prilivi po osnovu programa za podsticanje energetske efikasnosti u Pljevljima</w:t>
            </w:r>
          </w:p>
        </w:tc>
        <w:tc>
          <w:tcPr>
            <w:tcW w:w="1667" w:type="dxa"/>
            <w:tcBorders>
              <w:top w:val="nil"/>
              <w:left w:val="nil"/>
              <w:bottom w:val="single" w:sz="4" w:space="0" w:color="auto"/>
              <w:right w:val="single" w:sz="4" w:space="0" w:color="auto"/>
            </w:tcBorders>
            <w:shd w:val="clear" w:color="000000" w:fill="F2F2F2"/>
            <w:vAlign w:val="bottom"/>
            <w:hideMark/>
          </w:tcPr>
          <w:p w14:paraId="5FB849D1" w14:textId="16C35C8A" w:rsidR="001C60EB" w:rsidRPr="00F01C67" w:rsidRDefault="001C60EB" w:rsidP="002E5AC9">
            <w:pPr>
              <w:jc w:val="center"/>
              <w:rPr>
                <w:color w:val="000000"/>
                <w:sz w:val="22"/>
                <w:szCs w:val="22"/>
              </w:rPr>
            </w:pPr>
            <w:r w:rsidRPr="00F01C67">
              <w:rPr>
                <w:color w:val="000000"/>
                <w:sz w:val="22"/>
                <w:szCs w:val="22"/>
              </w:rPr>
              <w:t>300</w:t>
            </w:r>
            <w:r w:rsidR="00A10B43">
              <w:rPr>
                <w:color w:val="000000"/>
                <w:sz w:val="22"/>
                <w:szCs w:val="22"/>
              </w:rPr>
              <w:t>.</w:t>
            </w:r>
            <w:r w:rsidRPr="00F01C67">
              <w:rPr>
                <w:color w:val="000000"/>
                <w:sz w:val="22"/>
                <w:szCs w:val="22"/>
              </w:rPr>
              <w:t>000</w:t>
            </w:r>
            <w:r w:rsidR="00A10B43">
              <w:rPr>
                <w:color w:val="000000"/>
                <w:sz w:val="22"/>
                <w:szCs w:val="22"/>
              </w:rPr>
              <w:t>,</w:t>
            </w:r>
            <w:r w:rsidRPr="00F01C67">
              <w:rPr>
                <w:color w:val="000000"/>
                <w:sz w:val="22"/>
                <w:szCs w:val="22"/>
              </w:rPr>
              <w:t>00 €</w:t>
            </w:r>
          </w:p>
        </w:tc>
        <w:tc>
          <w:tcPr>
            <w:tcW w:w="1667" w:type="dxa"/>
            <w:tcBorders>
              <w:top w:val="nil"/>
              <w:left w:val="nil"/>
              <w:bottom w:val="single" w:sz="4" w:space="0" w:color="auto"/>
              <w:right w:val="single" w:sz="4" w:space="0" w:color="auto"/>
            </w:tcBorders>
            <w:shd w:val="clear" w:color="000000" w:fill="F2F2F2"/>
            <w:vAlign w:val="bottom"/>
            <w:hideMark/>
          </w:tcPr>
          <w:p w14:paraId="3BF4B2CA" w14:textId="77777777" w:rsidR="001C60EB" w:rsidRPr="00F01C67" w:rsidRDefault="001C60EB" w:rsidP="002E5AC9">
            <w:pPr>
              <w:jc w:val="center"/>
              <w:rPr>
                <w:color w:val="000000"/>
                <w:sz w:val="22"/>
                <w:szCs w:val="22"/>
              </w:rPr>
            </w:pPr>
            <w:r w:rsidRPr="00F01C67">
              <w:rPr>
                <w:color w:val="000000"/>
                <w:sz w:val="22"/>
                <w:szCs w:val="22"/>
              </w:rPr>
              <w:t> </w:t>
            </w:r>
          </w:p>
        </w:tc>
        <w:tc>
          <w:tcPr>
            <w:tcW w:w="1581" w:type="dxa"/>
            <w:tcBorders>
              <w:top w:val="nil"/>
              <w:left w:val="nil"/>
              <w:bottom w:val="single" w:sz="4" w:space="0" w:color="auto"/>
              <w:right w:val="single" w:sz="4" w:space="0" w:color="auto"/>
            </w:tcBorders>
            <w:shd w:val="clear" w:color="000000" w:fill="F2F2F2"/>
            <w:noWrap/>
            <w:vAlign w:val="bottom"/>
            <w:hideMark/>
          </w:tcPr>
          <w:p w14:paraId="357BBD62" w14:textId="77777777" w:rsidR="001C60EB" w:rsidRPr="00F01C67" w:rsidRDefault="001C60EB" w:rsidP="002E5AC9">
            <w:pPr>
              <w:jc w:val="center"/>
              <w:rPr>
                <w:color w:val="000000"/>
                <w:sz w:val="22"/>
                <w:szCs w:val="22"/>
              </w:rPr>
            </w:pPr>
            <w:r w:rsidRPr="00F01C67">
              <w:rPr>
                <w:color w:val="000000"/>
                <w:sz w:val="22"/>
                <w:szCs w:val="22"/>
              </w:rPr>
              <w:t> </w:t>
            </w:r>
          </w:p>
        </w:tc>
        <w:tc>
          <w:tcPr>
            <w:tcW w:w="3745" w:type="dxa"/>
            <w:tcBorders>
              <w:top w:val="nil"/>
              <w:left w:val="nil"/>
              <w:bottom w:val="single" w:sz="4" w:space="0" w:color="auto"/>
              <w:right w:val="single" w:sz="4" w:space="0" w:color="auto"/>
            </w:tcBorders>
            <w:shd w:val="clear" w:color="000000" w:fill="F2F2F2"/>
            <w:vAlign w:val="bottom"/>
            <w:hideMark/>
          </w:tcPr>
          <w:p w14:paraId="671D35CF" w14:textId="77777777" w:rsidR="001C60EB" w:rsidRPr="00F01C67" w:rsidRDefault="001C60EB" w:rsidP="002E5AC9">
            <w:pPr>
              <w:jc w:val="center"/>
              <w:rPr>
                <w:color w:val="000000"/>
                <w:sz w:val="22"/>
                <w:szCs w:val="22"/>
              </w:rPr>
            </w:pPr>
            <w:r w:rsidRPr="00F01C67">
              <w:rPr>
                <w:color w:val="000000"/>
                <w:sz w:val="22"/>
                <w:szCs w:val="22"/>
              </w:rPr>
              <w:t> </w:t>
            </w:r>
          </w:p>
        </w:tc>
      </w:tr>
      <w:tr w:rsidR="00D91173" w14:paraId="5E5B7A31" w14:textId="77777777" w:rsidTr="00F01C67">
        <w:trPr>
          <w:trHeight w:val="250"/>
        </w:trPr>
        <w:tc>
          <w:tcPr>
            <w:tcW w:w="785" w:type="dxa"/>
            <w:tcBorders>
              <w:top w:val="nil"/>
              <w:left w:val="single" w:sz="4" w:space="0" w:color="auto"/>
              <w:bottom w:val="single" w:sz="4" w:space="0" w:color="auto"/>
              <w:right w:val="single" w:sz="4" w:space="0" w:color="auto"/>
            </w:tcBorders>
            <w:shd w:val="clear" w:color="000000" w:fill="F2F2F2"/>
            <w:vAlign w:val="bottom"/>
          </w:tcPr>
          <w:p w14:paraId="1973C5AE" w14:textId="08622D41" w:rsidR="00D91173" w:rsidRDefault="00D91173" w:rsidP="002E5AC9">
            <w:pPr>
              <w:rPr>
                <w:rFonts w:ascii="Calibri" w:hAnsi="Calibri" w:cs="Calibri"/>
                <w:color w:val="000000"/>
              </w:rPr>
            </w:pPr>
            <w:r>
              <w:rPr>
                <w:rFonts w:ascii="Calibri" w:hAnsi="Calibri" w:cs="Calibri"/>
                <w:color w:val="000000"/>
              </w:rPr>
              <w:t>1.7.</w:t>
            </w:r>
          </w:p>
        </w:tc>
        <w:tc>
          <w:tcPr>
            <w:tcW w:w="1836" w:type="dxa"/>
            <w:tcBorders>
              <w:top w:val="nil"/>
              <w:left w:val="nil"/>
              <w:bottom w:val="single" w:sz="4" w:space="0" w:color="auto"/>
              <w:right w:val="single" w:sz="4" w:space="0" w:color="auto"/>
            </w:tcBorders>
            <w:shd w:val="clear" w:color="000000" w:fill="F2F2F2"/>
            <w:vAlign w:val="center"/>
          </w:tcPr>
          <w:p w14:paraId="2E83EEDF" w14:textId="77777777" w:rsidR="00D91173" w:rsidRPr="00997784" w:rsidRDefault="00D91173" w:rsidP="002E5AC9">
            <w:pPr>
              <w:rPr>
                <w:color w:val="000000"/>
                <w:sz w:val="20"/>
                <w:szCs w:val="20"/>
              </w:rPr>
            </w:pPr>
            <w:r w:rsidRPr="00997784">
              <w:rPr>
                <w:color w:val="000000"/>
                <w:sz w:val="20"/>
                <w:szCs w:val="20"/>
              </w:rPr>
              <w:t>Danube Region Programme</w:t>
            </w:r>
          </w:p>
          <w:p w14:paraId="0973584A" w14:textId="166FBBC1" w:rsidR="00D91173" w:rsidRPr="00997784" w:rsidRDefault="00D91173" w:rsidP="002E5AC9">
            <w:pPr>
              <w:rPr>
                <w:color w:val="000000"/>
                <w:sz w:val="20"/>
                <w:szCs w:val="20"/>
              </w:rPr>
            </w:pPr>
            <w:r w:rsidRPr="00997784">
              <w:rPr>
                <w:color w:val="000000"/>
                <w:sz w:val="20"/>
                <w:szCs w:val="20"/>
              </w:rPr>
              <w:t>ESINERGY</w:t>
            </w:r>
          </w:p>
        </w:tc>
        <w:tc>
          <w:tcPr>
            <w:tcW w:w="1667" w:type="dxa"/>
            <w:tcBorders>
              <w:top w:val="nil"/>
              <w:left w:val="nil"/>
              <w:bottom w:val="single" w:sz="4" w:space="0" w:color="auto"/>
              <w:right w:val="single" w:sz="4" w:space="0" w:color="auto"/>
            </w:tcBorders>
            <w:shd w:val="clear" w:color="000000" w:fill="F2F2F2"/>
            <w:vAlign w:val="bottom"/>
          </w:tcPr>
          <w:p w14:paraId="290ECB94" w14:textId="77777777" w:rsidR="00D91173" w:rsidRPr="00F01C67" w:rsidRDefault="00D91173" w:rsidP="002E5AC9">
            <w:pPr>
              <w:jc w:val="center"/>
              <w:rPr>
                <w:color w:val="000000"/>
                <w:sz w:val="22"/>
                <w:szCs w:val="22"/>
              </w:rPr>
            </w:pPr>
          </w:p>
        </w:tc>
        <w:tc>
          <w:tcPr>
            <w:tcW w:w="1667" w:type="dxa"/>
            <w:tcBorders>
              <w:top w:val="nil"/>
              <w:left w:val="nil"/>
              <w:bottom w:val="single" w:sz="4" w:space="0" w:color="auto"/>
              <w:right w:val="single" w:sz="4" w:space="0" w:color="auto"/>
            </w:tcBorders>
            <w:shd w:val="clear" w:color="000000" w:fill="F2F2F2"/>
            <w:vAlign w:val="bottom"/>
          </w:tcPr>
          <w:p w14:paraId="37A4A530" w14:textId="77777777" w:rsidR="00D91173" w:rsidRPr="00F01C67" w:rsidRDefault="00D91173" w:rsidP="002E5AC9">
            <w:pPr>
              <w:jc w:val="center"/>
              <w:rPr>
                <w:color w:val="000000"/>
                <w:sz w:val="22"/>
                <w:szCs w:val="22"/>
              </w:rPr>
            </w:pPr>
          </w:p>
        </w:tc>
        <w:tc>
          <w:tcPr>
            <w:tcW w:w="1581" w:type="dxa"/>
            <w:tcBorders>
              <w:top w:val="nil"/>
              <w:left w:val="nil"/>
              <w:bottom w:val="single" w:sz="4" w:space="0" w:color="auto"/>
              <w:right w:val="single" w:sz="4" w:space="0" w:color="auto"/>
            </w:tcBorders>
            <w:shd w:val="clear" w:color="000000" w:fill="F2F2F2"/>
            <w:noWrap/>
            <w:vAlign w:val="bottom"/>
          </w:tcPr>
          <w:p w14:paraId="4261F3A9" w14:textId="77777777" w:rsidR="00D91173" w:rsidRPr="00F01C67" w:rsidRDefault="00D91173" w:rsidP="002E5AC9">
            <w:pPr>
              <w:jc w:val="center"/>
              <w:rPr>
                <w:color w:val="000000"/>
                <w:sz w:val="22"/>
                <w:szCs w:val="22"/>
              </w:rPr>
            </w:pPr>
          </w:p>
        </w:tc>
        <w:tc>
          <w:tcPr>
            <w:tcW w:w="3745" w:type="dxa"/>
            <w:tcBorders>
              <w:top w:val="nil"/>
              <w:left w:val="nil"/>
              <w:bottom w:val="single" w:sz="4" w:space="0" w:color="auto"/>
              <w:right w:val="single" w:sz="4" w:space="0" w:color="auto"/>
            </w:tcBorders>
            <w:shd w:val="clear" w:color="000000" w:fill="F2F2F2"/>
            <w:vAlign w:val="bottom"/>
          </w:tcPr>
          <w:p w14:paraId="42CD7056" w14:textId="54581D4E" w:rsidR="00D91173" w:rsidRPr="00F01C67" w:rsidRDefault="00D91173" w:rsidP="002E5AC9">
            <w:pPr>
              <w:jc w:val="center"/>
              <w:rPr>
                <w:color w:val="000000"/>
                <w:sz w:val="22"/>
                <w:szCs w:val="22"/>
              </w:rPr>
            </w:pPr>
            <w:r w:rsidRPr="00F01C67">
              <w:rPr>
                <w:color w:val="000000"/>
                <w:sz w:val="22"/>
                <w:szCs w:val="22"/>
              </w:rPr>
              <w:t>57</w:t>
            </w:r>
            <w:r w:rsidR="00A10B43">
              <w:rPr>
                <w:color w:val="000000"/>
                <w:sz w:val="22"/>
                <w:szCs w:val="22"/>
              </w:rPr>
              <w:t>.</w:t>
            </w:r>
            <w:r w:rsidRPr="00F01C67">
              <w:rPr>
                <w:color w:val="000000"/>
                <w:sz w:val="22"/>
                <w:szCs w:val="22"/>
              </w:rPr>
              <w:t>430</w:t>
            </w:r>
            <w:r w:rsidR="00A10B43">
              <w:rPr>
                <w:color w:val="000000"/>
                <w:sz w:val="22"/>
                <w:szCs w:val="22"/>
              </w:rPr>
              <w:t>,</w:t>
            </w:r>
            <w:r w:rsidRPr="00F01C67">
              <w:rPr>
                <w:color w:val="000000"/>
                <w:sz w:val="22"/>
                <w:szCs w:val="22"/>
              </w:rPr>
              <w:t>00 €</w:t>
            </w:r>
          </w:p>
        </w:tc>
      </w:tr>
      <w:tr w:rsidR="001C60EB" w14:paraId="6A99FA22" w14:textId="77777777" w:rsidTr="00F01C67">
        <w:trPr>
          <w:trHeight w:val="250"/>
        </w:trPr>
        <w:tc>
          <w:tcPr>
            <w:tcW w:w="785" w:type="dxa"/>
            <w:tcBorders>
              <w:top w:val="nil"/>
              <w:left w:val="single" w:sz="4" w:space="0" w:color="auto"/>
              <w:bottom w:val="single" w:sz="4" w:space="0" w:color="auto"/>
              <w:right w:val="single" w:sz="4" w:space="0" w:color="auto"/>
            </w:tcBorders>
            <w:shd w:val="clear" w:color="000000" w:fill="F2F2F2"/>
            <w:vAlign w:val="bottom"/>
            <w:hideMark/>
          </w:tcPr>
          <w:p w14:paraId="13AE31AE" w14:textId="6C3FCF86" w:rsidR="001C60EB" w:rsidRDefault="001C60EB" w:rsidP="002E5AC9">
            <w:pPr>
              <w:rPr>
                <w:rFonts w:ascii="Calibri" w:hAnsi="Calibri" w:cs="Calibri"/>
                <w:color w:val="000000"/>
              </w:rPr>
            </w:pPr>
            <w:r>
              <w:rPr>
                <w:rFonts w:ascii="Calibri" w:hAnsi="Calibri" w:cs="Calibri"/>
                <w:color w:val="000000"/>
              </w:rPr>
              <w:t>1.</w:t>
            </w:r>
            <w:r w:rsidR="00D91173">
              <w:rPr>
                <w:rFonts w:ascii="Calibri" w:hAnsi="Calibri" w:cs="Calibri"/>
                <w:color w:val="000000"/>
              </w:rPr>
              <w:t>8</w:t>
            </w:r>
            <w:r>
              <w:rPr>
                <w:rFonts w:ascii="Calibri" w:hAnsi="Calibri" w:cs="Calibri"/>
                <w:color w:val="000000"/>
              </w:rPr>
              <w:t>.</w:t>
            </w:r>
          </w:p>
        </w:tc>
        <w:tc>
          <w:tcPr>
            <w:tcW w:w="1836" w:type="dxa"/>
            <w:tcBorders>
              <w:top w:val="nil"/>
              <w:left w:val="nil"/>
              <w:bottom w:val="single" w:sz="4" w:space="0" w:color="auto"/>
              <w:right w:val="single" w:sz="4" w:space="0" w:color="auto"/>
            </w:tcBorders>
            <w:shd w:val="clear" w:color="000000" w:fill="F2F2F2"/>
            <w:vAlign w:val="center"/>
            <w:hideMark/>
          </w:tcPr>
          <w:p w14:paraId="1CB498EF" w14:textId="77777777" w:rsidR="001C60EB" w:rsidRPr="00997784" w:rsidRDefault="001C60EB" w:rsidP="002E5AC9">
            <w:pPr>
              <w:rPr>
                <w:color w:val="000000"/>
                <w:sz w:val="20"/>
                <w:szCs w:val="20"/>
              </w:rPr>
            </w:pPr>
            <w:r w:rsidRPr="00997784">
              <w:rPr>
                <w:color w:val="000000"/>
                <w:sz w:val="20"/>
                <w:szCs w:val="20"/>
              </w:rPr>
              <w:t xml:space="preserve">CMSR - Slovenija </w:t>
            </w:r>
          </w:p>
        </w:tc>
        <w:tc>
          <w:tcPr>
            <w:tcW w:w="1667" w:type="dxa"/>
            <w:tcBorders>
              <w:top w:val="nil"/>
              <w:left w:val="nil"/>
              <w:bottom w:val="single" w:sz="4" w:space="0" w:color="auto"/>
              <w:right w:val="single" w:sz="4" w:space="0" w:color="auto"/>
            </w:tcBorders>
            <w:shd w:val="clear" w:color="000000" w:fill="F2F2F2"/>
            <w:vAlign w:val="bottom"/>
            <w:hideMark/>
          </w:tcPr>
          <w:p w14:paraId="575BCF8E" w14:textId="77777777" w:rsidR="001C60EB" w:rsidRPr="00F01C67" w:rsidRDefault="001C60EB" w:rsidP="002E5AC9">
            <w:pPr>
              <w:jc w:val="center"/>
              <w:rPr>
                <w:color w:val="000000"/>
                <w:sz w:val="22"/>
                <w:szCs w:val="22"/>
              </w:rPr>
            </w:pPr>
            <w:r w:rsidRPr="00F01C67">
              <w:rPr>
                <w:color w:val="000000"/>
                <w:sz w:val="22"/>
                <w:szCs w:val="22"/>
              </w:rPr>
              <w:t> </w:t>
            </w:r>
          </w:p>
        </w:tc>
        <w:tc>
          <w:tcPr>
            <w:tcW w:w="1667" w:type="dxa"/>
            <w:tcBorders>
              <w:top w:val="nil"/>
              <w:left w:val="nil"/>
              <w:bottom w:val="single" w:sz="4" w:space="0" w:color="auto"/>
              <w:right w:val="single" w:sz="4" w:space="0" w:color="auto"/>
            </w:tcBorders>
            <w:shd w:val="clear" w:color="000000" w:fill="F2F2F2"/>
            <w:vAlign w:val="bottom"/>
            <w:hideMark/>
          </w:tcPr>
          <w:p w14:paraId="78366668" w14:textId="77777777" w:rsidR="001C60EB" w:rsidRPr="00F01C67" w:rsidRDefault="001C60EB" w:rsidP="002E5AC9">
            <w:pPr>
              <w:jc w:val="center"/>
              <w:rPr>
                <w:color w:val="000000"/>
                <w:sz w:val="22"/>
                <w:szCs w:val="22"/>
              </w:rPr>
            </w:pPr>
            <w:r w:rsidRPr="00F01C67">
              <w:rPr>
                <w:color w:val="000000"/>
                <w:sz w:val="22"/>
                <w:szCs w:val="22"/>
              </w:rPr>
              <w:t> </w:t>
            </w:r>
          </w:p>
        </w:tc>
        <w:tc>
          <w:tcPr>
            <w:tcW w:w="1581" w:type="dxa"/>
            <w:tcBorders>
              <w:top w:val="nil"/>
              <w:left w:val="nil"/>
              <w:bottom w:val="single" w:sz="4" w:space="0" w:color="auto"/>
              <w:right w:val="single" w:sz="4" w:space="0" w:color="auto"/>
            </w:tcBorders>
            <w:shd w:val="clear" w:color="000000" w:fill="F2F2F2"/>
            <w:noWrap/>
            <w:vAlign w:val="bottom"/>
            <w:hideMark/>
          </w:tcPr>
          <w:p w14:paraId="5A038C3B" w14:textId="77777777" w:rsidR="001C60EB" w:rsidRPr="00F01C67" w:rsidRDefault="001C60EB" w:rsidP="002E5AC9">
            <w:pPr>
              <w:jc w:val="center"/>
              <w:rPr>
                <w:color w:val="000000"/>
                <w:sz w:val="22"/>
                <w:szCs w:val="22"/>
              </w:rPr>
            </w:pPr>
            <w:r w:rsidRPr="00F01C67">
              <w:rPr>
                <w:color w:val="000000"/>
                <w:sz w:val="22"/>
                <w:szCs w:val="22"/>
              </w:rPr>
              <w:t> </w:t>
            </w:r>
          </w:p>
        </w:tc>
        <w:tc>
          <w:tcPr>
            <w:tcW w:w="3745" w:type="dxa"/>
            <w:tcBorders>
              <w:top w:val="nil"/>
              <w:left w:val="nil"/>
              <w:bottom w:val="single" w:sz="4" w:space="0" w:color="auto"/>
              <w:right w:val="single" w:sz="4" w:space="0" w:color="auto"/>
            </w:tcBorders>
            <w:shd w:val="clear" w:color="000000" w:fill="F2F2F2"/>
            <w:vAlign w:val="bottom"/>
            <w:hideMark/>
          </w:tcPr>
          <w:p w14:paraId="5527955D" w14:textId="6E5F43ED" w:rsidR="001C60EB" w:rsidRPr="00F01C67" w:rsidRDefault="001C60EB" w:rsidP="002E5AC9">
            <w:pPr>
              <w:jc w:val="center"/>
              <w:rPr>
                <w:color w:val="000000"/>
                <w:sz w:val="22"/>
                <w:szCs w:val="22"/>
              </w:rPr>
            </w:pPr>
            <w:r w:rsidRPr="00F01C67">
              <w:rPr>
                <w:color w:val="000000"/>
                <w:sz w:val="22"/>
                <w:szCs w:val="22"/>
              </w:rPr>
              <w:t>1</w:t>
            </w:r>
            <w:r w:rsidR="00A10B43">
              <w:rPr>
                <w:color w:val="000000"/>
                <w:sz w:val="22"/>
                <w:szCs w:val="22"/>
              </w:rPr>
              <w:t>.</w:t>
            </w:r>
            <w:r w:rsidRPr="00F01C67">
              <w:rPr>
                <w:color w:val="000000"/>
                <w:sz w:val="22"/>
                <w:szCs w:val="22"/>
              </w:rPr>
              <w:t>000</w:t>
            </w:r>
            <w:r w:rsidR="00A10B43">
              <w:rPr>
                <w:color w:val="000000"/>
                <w:sz w:val="22"/>
                <w:szCs w:val="22"/>
              </w:rPr>
              <w:t>.</w:t>
            </w:r>
            <w:r w:rsidRPr="00F01C67">
              <w:rPr>
                <w:color w:val="000000"/>
                <w:sz w:val="22"/>
                <w:szCs w:val="22"/>
              </w:rPr>
              <w:t>000</w:t>
            </w:r>
            <w:r w:rsidR="00A10B43">
              <w:rPr>
                <w:color w:val="000000"/>
                <w:sz w:val="22"/>
                <w:szCs w:val="22"/>
              </w:rPr>
              <w:t>,</w:t>
            </w:r>
            <w:r w:rsidRPr="00F01C67">
              <w:rPr>
                <w:color w:val="000000"/>
                <w:sz w:val="22"/>
                <w:szCs w:val="22"/>
              </w:rPr>
              <w:t>00 €</w:t>
            </w:r>
          </w:p>
        </w:tc>
      </w:tr>
      <w:tr w:rsidR="001C60EB" w14:paraId="78159C0B" w14:textId="77777777" w:rsidTr="00F01C67">
        <w:trPr>
          <w:trHeight w:val="502"/>
        </w:trPr>
        <w:tc>
          <w:tcPr>
            <w:tcW w:w="785" w:type="dxa"/>
            <w:tcBorders>
              <w:top w:val="nil"/>
              <w:left w:val="single" w:sz="4" w:space="0" w:color="auto"/>
              <w:bottom w:val="single" w:sz="4" w:space="0" w:color="auto"/>
              <w:right w:val="single" w:sz="4" w:space="0" w:color="auto"/>
            </w:tcBorders>
            <w:shd w:val="clear" w:color="000000" w:fill="F2F2F2"/>
            <w:vAlign w:val="bottom"/>
            <w:hideMark/>
          </w:tcPr>
          <w:p w14:paraId="301DD307" w14:textId="3BBFD3E9" w:rsidR="001C60EB" w:rsidRDefault="001C60EB" w:rsidP="002E5AC9">
            <w:pPr>
              <w:rPr>
                <w:rFonts w:ascii="Calibri" w:hAnsi="Calibri" w:cs="Calibri"/>
                <w:color w:val="000000"/>
              </w:rPr>
            </w:pPr>
            <w:r>
              <w:rPr>
                <w:rFonts w:ascii="Calibri" w:hAnsi="Calibri" w:cs="Calibri"/>
                <w:color w:val="000000"/>
              </w:rPr>
              <w:t>1.</w:t>
            </w:r>
            <w:r w:rsidR="00D91173">
              <w:rPr>
                <w:rFonts w:ascii="Calibri" w:hAnsi="Calibri" w:cs="Calibri"/>
                <w:color w:val="000000"/>
              </w:rPr>
              <w:t>9</w:t>
            </w:r>
            <w:r>
              <w:rPr>
                <w:rFonts w:ascii="Calibri" w:hAnsi="Calibri" w:cs="Calibri"/>
                <w:color w:val="000000"/>
              </w:rPr>
              <w:t>.</w:t>
            </w:r>
          </w:p>
        </w:tc>
        <w:tc>
          <w:tcPr>
            <w:tcW w:w="1836" w:type="dxa"/>
            <w:tcBorders>
              <w:top w:val="nil"/>
              <w:left w:val="nil"/>
              <w:bottom w:val="single" w:sz="4" w:space="0" w:color="auto"/>
              <w:right w:val="single" w:sz="4" w:space="0" w:color="auto"/>
            </w:tcBorders>
            <w:shd w:val="clear" w:color="000000" w:fill="F2F2F2"/>
            <w:vAlign w:val="center"/>
            <w:hideMark/>
          </w:tcPr>
          <w:p w14:paraId="033583DF" w14:textId="77777777" w:rsidR="001C60EB" w:rsidRPr="00997784" w:rsidRDefault="001C60EB" w:rsidP="002E5AC9">
            <w:pPr>
              <w:rPr>
                <w:color w:val="000000"/>
                <w:sz w:val="20"/>
                <w:szCs w:val="20"/>
              </w:rPr>
            </w:pPr>
            <w:r w:rsidRPr="00997784">
              <w:rPr>
                <w:color w:val="000000"/>
                <w:sz w:val="20"/>
                <w:szCs w:val="20"/>
              </w:rPr>
              <w:t>Priliv po osnovu naknada za promet plastičnih kesa</w:t>
            </w:r>
          </w:p>
        </w:tc>
        <w:tc>
          <w:tcPr>
            <w:tcW w:w="1667" w:type="dxa"/>
            <w:tcBorders>
              <w:top w:val="nil"/>
              <w:left w:val="nil"/>
              <w:bottom w:val="single" w:sz="4" w:space="0" w:color="auto"/>
              <w:right w:val="single" w:sz="4" w:space="0" w:color="auto"/>
            </w:tcBorders>
            <w:shd w:val="clear" w:color="000000" w:fill="F2F2F2"/>
            <w:vAlign w:val="bottom"/>
            <w:hideMark/>
          </w:tcPr>
          <w:p w14:paraId="3710AAB3" w14:textId="00B43B45" w:rsidR="001C60EB" w:rsidRPr="00F01C67" w:rsidRDefault="001C60EB" w:rsidP="002E5AC9">
            <w:pPr>
              <w:jc w:val="center"/>
              <w:rPr>
                <w:color w:val="000000"/>
                <w:sz w:val="22"/>
                <w:szCs w:val="22"/>
              </w:rPr>
            </w:pPr>
            <w:r w:rsidRPr="00F01C67">
              <w:rPr>
                <w:color w:val="000000"/>
                <w:sz w:val="22"/>
                <w:szCs w:val="22"/>
              </w:rPr>
              <w:t>25</w:t>
            </w:r>
            <w:r w:rsidR="00A10B43">
              <w:rPr>
                <w:color w:val="000000"/>
                <w:sz w:val="22"/>
                <w:szCs w:val="22"/>
              </w:rPr>
              <w:t>.</w:t>
            </w:r>
            <w:r w:rsidRPr="00F01C67">
              <w:rPr>
                <w:color w:val="000000"/>
                <w:sz w:val="22"/>
                <w:szCs w:val="22"/>
              </w:rPr>
              <w:t>000</w:t>
            </w:r>
            <w:r w:rsidR="00A10B43">
              <w:rPr>
                <w:color w:val="000000"/>
                <w:sz w:val="22"/>
                <w:szCs w:val="22"/>
              </w:rPr>
              <w:t>,</w:t>
            </w:r>
            <w:r w:rsidRPr="00F01C67">
              <w:rPr>
                <w:color w:val="000000"/>
                <w:sz w:val="22"/>
                <w:szCs w:val="22"/>
              </w:rPr>
              <w:t>00 €</w:t>
            </w:r>
          </w:p>
        </w:tc>
        <w:tc>
          <w:tcPr>
            <w:tcW w:w="1667" w:type="dxa"/>
            <w:tcBorders>
              <w:top w:val="nil"/>
              <w:left w:val="nil"/>
              <w:bottom w:val="nil"/>
              <w:right w:val="single" w:sz="4" w:space="0" w:color="auto"/>
            </w:tcBorders>
            <w:shd w:val="clear" w:color="auto" w:fill="auto"/>
            <w:vAlign w:val="bottom"/>
            <w:hideMark/>
          </w:tcPr>
          <w:p w14:paraId="157160B6" w14:textId="3B157A07" w:rsidR="001C60EB" w:rsidRPr="00F01C67" w:rsidRDefault="001C60EB" w:rsidP="002E5AC9">
            <w:pPr>
              <w:jc w:val="center"/>
              <w:rPr>
                <w:color w:val="000000"/>
                <w:sz w:val="22"/>
                <w:szCs w:val="22"/>
              </w:rPr>
            </w:pPr>
            <w:r w:rsidRPr="00F01C67">
              <w:rPr>
                <w:color w:val="000000"/>
                <w:sz w:val="22"/>
                <w:szCs w:val="22"/>
              </w:rPr>
              <w:t>50</w:t>
            </w:r>
            <w:r w:rsidR="00A10B43">
              <w:rPr>
                <w:color w:val="000000"/>
                <w:sz w:val="22"/>
                <w:szCs w:val="22"/>
              </w:rPr>
              <w:t>.</w:t>
            </w:r>
            <w:r w:rsidRPr="00F01C67">
              <w:rPr>
                <w:color w:val="000000"/>
                <w:sz w:val="22"/>
                <w:szCs w:val="22"/>
              </w:rPr>
              <w:t>783</w:t>
            </w:r>
            <w:r w:rsidR="00A10B43">
              <w:rPr>
                <w:color w:val="000000"/>
                <w:sz w:val="22"/>
                <w:szCs w:val="22"/>
              </w:rPr>
              <w:t>,</w:t>
            </w:r>
            <w:r w:rsidRPr="00F01C67">
              <w:rPr>
                <w:color w:val="000000"/>
                <w:sz w:val="22"/>
                <w:szCs w:val="22"/>
              </w:rPr>
              <w:t>77 €</w:t>
            </w:r>
          </w:p>
        </w:tc>
        <w:tc>
          <w:tcPr>
            <w:tcW w:w="1581" w:type="dxa"/>
            <w:tcBorders>
              <w:top w:val="nil"/>
              <w:left w:val="nil"/>
              <w:bottom w:val="nil"/>
              <w:right w:val="single" w:sz="4" w:space="0" w:color="auto"/>
            </w:tcBorders>
            <w:shd w:val="clear" w:color="auto" w:fill="auto"/>
            <w:noWrap/>
            <w:vAlign w:val="bottom"/>
            <w:hideMark/>
          </w:tcPr>
          <w:p w14:paraId="3997DBC4" w14:textId="4A4EBCFF" w:rsidR="001C60EB" w:rsidRPr="00F01C67" w:rsidRDefault="001C60EB" w:rsidP="002E5AC9">
            <w:pPr>
              <w:jc w:val="center"/>
              <w:rPr>
                <w:color w:val="000000"/>
                <w:sz w:val="22"/>
                <w:szCs w:val="22"/>
              </w:rPr>
            </w:pPr>
            <w:r w:rsidRPr="00F01C67">
              <w:rPr>
                <w:color w:val="000000"/>
                <w:sz w:val="22"/>
                <w:szCs w:val="22"/>
              </w:rPr>
              <w:t>25</w:t>
            </w:r>
            <w:r w:rsidR="00A10B43">
              <w:rPr>
                <w:color w:val="000000"/>
                <w:sz w:val="22"/>
                <w:szCs w:val="22"/>
              </w:rPr>
              <w:t>.</w:t>
            </w:r>
            <w:r w:rsidRPr="00F01C67">
              <w:rPr>
                <w:color w:val="000000"/>
                <w:sz w:val="22"/>
                <w:szCs w:val="22"/>
              </w:rPr>
              <w:t>783</w:t>
            </w:r>
            <w:r w:rsidR="00A10B43">
              <w:rPr>
                <w:color w:val="000000"/>
                <w:sz w:val="22"/>
                <w:szCs w:val="22"/>
              </w:rPr>
              <w:t>,</w:t>
            </w:r>
            <w:r w:rsidRPr="00F01C67">
              <w:rPr>
                <w:color w:val="000000"/>
                <w:sz w:val="22"/>
                <w:szCs w:val="22"/>
              </w:rPr>
              <w:t>77 €</w:t>
            </w:r>
          </w:p>
        </w:tc>
        <w:tc>
          <w:tcPr>
            <w:tcW w:w="3745" w:type="dxa"/>
            <w:tcBorders>
              <w:top w:val="nil"/>
              <w:left w:val="nil"/>
              <w:bottom w:val="single" w:sz="4" w:space="0" w:color="auto"/>
              <w:right w:val="single" w:sz="4" w:space="0" w:color="auto"/>
            </w:tcBorders>
            <w:shd w:val="clear" w:color="000000" w:fill="F2F2F2"/>
            <w:vAlign w:val="bottom"/>
            <w:hideMark/>
          </w:tcPr>
          <w:p w14:paraId="11D6CA25" w14:textId="200BACAD" w:rsidR="001C60EB" w:rsidRPr="00F01C67" w:rsidRDefault="001C60EB" w:rsidP="002E5AC9">
            <w:pPr>
              <w:jc w:val="center"/>
              <w:rPr>
                <w:color w:val="000000"/>
                <w:sz w:val="22"/>
                <w:szCs w:val="22"/>
              </w:rPr>
            </w:pPr>
            <w:r w:rsidRPr="00F01C67">
              <w:rPr>
                <w:color w:val="000000"/>
                <w:sz w:val="22"/>
                <w:szCs w:val="22"/>
              </w:rPr>
              <w:t>800</w:t>
            </w:r>
            <w:r w:rsidR="00A10B43">
              <w:rPr>
                <w:color w:val="000000"/>
                <w:sz w:val="22"/>
                <w:szCs w:val="22"/>
              </w:rPr>
              <w:t>.</w:t>
            </w:r>
            <w:r w:rsidRPr="00F01C67">
              <w:rPr>
                <w:color w:val="000000"/>
                <w:sz w:val="22"/>
                <w:szCs w:val="22"/>
              </w:rPr>
              <w:t>000</w:t>
            </w:r>
            <w:r w:rsidR="00A10B43">
              <w:rPr>
                <w:color w:val="000000"/>
                <w:sz w:val="22"/>
                <w:szCs w:val="22"/>
              </w:rPr>
              <w:t>,</w:t>
            </w:r>
            <w:r w:rsidRPr="00F01C67">
              <w:rPr>
                <w:color w:val="000000"/>
                <w:sz w:val="22"/>
                <w:szCs w:val="22"/>
              </w:rPr>
              <w:t>00 €</w:t>
            </w:r>
          </w:p>
        </w:tc>
      </w:tr>
      <w:tr w:rsidR="001C60EB" w14:paraId="38EB17F5" w14:textId="77777777" w:rsidTr="00F01C67">
        <w:trPr>
          <w:trHeight w:val="250"/>
        </w:trPr>
        <w:tc>
          <w:tcPr>
            <w:tcW w:w="785" w:type="dxa"/>
            <w:tcBorders>
              <w:top w:val="nil"/>
              <w:left w:val="single" w:sz="4" w:space="0" w:color="auto"/>
              <w:bottom w:val="single" w:sz="4" w:space="0" w:color="auto"/>
              <w:right w:val="single" w:sz="4" w:space="0" w:color="auto"/>
            </w:tcBorders>
            <w:shd w:val="clear" w:color="000000" w:fill="F2F2F2"/>
            <w:vAlign w:val="bottom"/>
            <w:hideMark/>
          </w:tcPr>
          <w:p w14:paraId="70105172" w14:textId="69C4B89E" w:rsidR="001C60EB" w:rsidRDefault="001C60EB" w:rsidP="002E5AC9">
            <w:pPr>
              <w:rPr>
                <w:rFonts w:ascii="Calibri" w:hAnsi="Calibri" w:cs="Calibri"/>
                <w:color w:val="000000"/>
              </w:rPr>
            </w:pPr>
            <w:r>
              <w:rPr>
                <w:rFonts w:ascii="Calibri" w:hAnsi="Calibri" w:cs="Calibri"/>
                <w:color w:val="000000"/>
              </w:rPr>
              <w:t>1.</w:t>
            </w:r>
            <w:r w:rsidR="00D91173">
              <w:rPr>
                <w:rFonts w:ascii="Calibri" w:hAnsi="Calibri" w:cs="Calibri"/>
                <w:color w:val="000000"/>
              </w:rPr>
              <w:t>10</w:t>
            </w:r>
            <w:r>
              <w:rPr>
                <w:rFonts w:ascii="Calibri" w:hAnsi="Calibri" w:cs="Calibri"/>
                <w:color w:val="000000"/>
              </w:rPr>
              <w:t>.</w:t>
            </w:r>
          </w:p>
        </w:tc>
        <w:tc>
          <w:tcPr>
            <w:tcW w:w="1836" w:type="dxa"/>
            <w:tcBorders>
              <w:top w:val="nil"/>
              <w:left w:val="nil"/>
              <w:bottom w:val="single" w:sz="4" w:space="0" w:color="auto"/>
              <w:right w:val="single" w:sz="4" w:space="0" w:color="auto"/>
            </w:tcBorders>
            <w:shd w:val="clear" w:color="000000" w:fill="F2F2F2"/>
            <w:vAlign w:val="bottom"/>
            <w:hideMark/>
          </w:tcPr>
          <w:p w14:paraId="3D118191" w14:textId="77777777" w:rsidR="001C60EB" w:rsidRPr="00997784" w:rsidRDefault="001C60EB" w:rsidP="002E5AC9">
            <w:pPr>
              <w:rPr>
                <w:color w:val="000000"/>
                <w:sz w:val="20"/>
                <w:szCs w:val="20"/>
              </w:rPr>
            </w:pPr>
            <w:r w:rsidRPr="00997784">
              <w:rPr>
                <w:color w:val="000000"/>
                <w:sz w:val="20"/>
                <w:szCs w:val="20"/>
              </w:rPr>
              <w:t>Dug po osnovu potrazivanja</w:t>
            </w:r>
          </w:p>
        </w:tc>
        <w:tc>
          <w:tcPr>
            <w:tcW w:w="1667" w:type="dxa"/>
            <w:tcBorders>
              <w:top w:val="nil"/>
              <w:left w:val="nil"/>
              <w:bottom w:val="single" w:sz="4" w:space="0" w:color="auto"/>
              <w:right w:val="single" w:sz="4" w:space="0" w:color="auto"/>
            </w:tcBorders>
            <w:shd w:val="clear" w:color="000000" w:fill="F2F2F2"/>
            <w:vAlign w:val="bottom"/>
            <w:hideMark/>
          </w:tcPr>
          <w:p w14:paraId="63A47AF4" w14:textId="77777777" w:rsidR="001C60EB" w:rsidRPr="00F01C67" w:rsidRDefault="001C60EB" w:rsidP="002E5AC9">
            <w:pPr>
              <w:jc w:val="center"/>
              <w:rPr>
                <w:color w:val="000000"/>
                <w:sz w:val="22"/>
                <w:szCs w:val="22"/>
              </w:rPr>
            </w:pPr>
            <w:r w:rsidRPr="00F01C67">
              <w:rPr>
                <w:color w:val="000000"/>
                <w:sz w:val="22"/>
                <w:szCs w:val="22"/>
              </w:rPr>
              <w:t> </w:t>
            </w:r>
          </w:p>
        </w:tc>
        <w:tc>
          <w:tcPr>
            <w:tcW w:w="1667" w:type="dxa"/>
            <w:tcBorders>
              <w:top w:val="single" w:sz="4" w:space="0" w:color="auto"/>
              <w:left w:val="nil"/>
              <w:bottom w:val="single" w:sz="4" w:space="0" w:color="auto"/>
              <w:right w:val="single" w:sz="4" w:space="0" w:color="auto"/>
            </w:tcBorders>
            <w:shd w:val="clear" w:color="000000" w:fill="F2F2F2"/>
            <w:vAlign w:val="bottom"/>
            <w:hideMark/>
          </w:tcPr>
          <w:p w14:paraId="380DD655" w14:textId="77777777" w:rsidR="001C60EB" w:rsidRPr="00F01C67" w:rsidRDefault="001C60EB" w:rsidP="002E5AC9">
            <w:pPr>
              <w:jc w:val="center"/>
              <w:rPr>
                <w:color w:val="000000"/>
                <w:sz w:val="22"/>
                <w:szCs w:val="22"/>
              </w:rPr>
            </w:pPr>
            <w:r w:rsidRPr="00F01C67">
              <w:rPr>
                <w:color w:val="000000"/>
                <w:sz w:val="22"/>
                <w:szCs w:val="22"/>
              </w:rPr>
              <w:t> </w:t>
            </w:r>
          </w:p>
        </w:tc>
        <w:tc>
          <w:tcPr>
            <w:tcW w:w="1581" w:type="dxa"/>
            <w:tcBorders>
              <w:top w:val="single" w:sz="4" w:space="0" w:color="auto"/>
              <w:left w:val="nil"/>
              <w:bottom w:val="single" w:sz="4" w:space="0" w:color="auto"/>
              <w:right w:val="single" w:sz="4" w:space="0" w:color="auto"/>
            </w:tcBorders>
            <w:shd w:val="clear" w:color="000000" w:fill="F2F2F2"/>
            <w:noWrap/>
            <w:vAlign w:val="bottom"/>
            <w:hideMark/>
          </w:tcPr>
          <w:p w14:paraId="05E43FBE" w14:textId="77777777" w:rsidR="001C60EB" w:rsidRPr="00F01C67" w:rsidRDefault="001C60EB" w:rsidP="002E5AC9">
            <w:pPr>
              <w:jc w:val="center"/>
              <w:rPr>
                <w:color w:val="000000"/>
                <w:sz w:val="22"/>
                <w:szCs w:val="22"/>
              </w:rPr>
            </w:pPr>
            <w:r w:rsidRPr="00F01C67">
              <w:rPr>
                <w:color w:val="000000"/>
                <w:sz w:val="22"/>
                <w:szCs w:val="22"/>
              </w:rPr>
              <w:t> </w:t>
            </w:r>
          </w:p>
        </w:tc>
        <w:tc>
          <w:tcPr>
            <w:tcW w:w="3745" w:type="dxa"/>
            <w:tcBorders>
              <w:top w:val="nil"/>
              <w:left w:val="nil"/>
              <w:bottom w:val="single" w:sz="4" w:space="0" w:color="auto"/>
              <w:right w:val="single" w:sz="4" w:space="0" w:color="auto"/>
            </w:tcBorders>
            <w:shd w:val="clear" w:color="000000" w:fill="F2F2F2"/>
            <w:vAlign w:val="bottom"/>
            <w:hideMark/>
          </w:tcPr>
          <w:p w14:paraId="206E0CBB" w14:textId="5DF89B2C" w:rsidR="001C60EB" w:rsidRPr="00F01C67" w:rsidRDefault="001C60EB" w:rsidP="002E5AC9">
            <w:pPr>
              <w:jc w:val="center"/>
              <w:rPr>
                <w:color w:val="000000"/>
                <w:sz w:val="22"/>
                <w:szCs w:val="22"/>
              </w:rPr>
            </w:pPr>
            <w:r w:rsidRPr="00F01C67">
              <w:rPr>
                <w:color w:val="000000"/>
                <w:sz w:val="22"/>
                <w:szCs w:val="22"/>
              </w:rPr>
              <w:t>2</w:t>
            </w:r>
            <w:r w:rsidR="00A10B43">
              <w:rPr>
                <w:color w:val="000000"/>
                <w:sz w:val="22"/>
                <w:szCs w:val="22"/>
              </w:rPr>
              <w:t>.</w:t>
            </w:r>
            <w:r w:rsidRPr="00F01C67">
              <w:rPr>
                <w:color w:val="000000"/>
                <w:sz w:val="22"/>
                <w:szCs w:val="22"/>
              </w:rPr>
              <w:t>512</w:t>
            </w:r>
            <w:r w:rsidR="00A10B43">
              <w:rPr>
                <w:color w:val="000000"/>
                <w:sz w:val="22"/>
                <w:szCs w:val="22"/>
              </w:rPr>
              <w:t>.</w:t>
            </w:r>
            <w:r w:rsidRPr="00F01C67">
              <w:rPr>
                <w:color w:val="000000"/>
                <w:sz w:val="22"/>
                <w:szCs w:val="22"/>
              </w:rPr>
              <w:t>558</w:t>
            </w:r>
            <w:r w:rsidR="00A10B43">
              <w:rPr>
                <w:color w:val="000000"/>
                <w:sz w:val="22"/>
                <w:szCs w:val="22"/>
              </w:rPr>
              <w:t>,</w:t>
            </w:r>
            <w:r w:rsidRPr="00F01C67">
              <w:rPr>
                <w:color w:val="000000"/>
                <w:sz w:val="22"/>
                <w:szCs w:val="22"/>
              </w:rPr>
              <w:t>18 €</w:t>
            </w:r>
          </w:p>
        </w:tc>
      </w:tr>
      <w:tr w:rsidR="001C60EB" w14:paraId="0E694D68" w14:textId="77777777" w:rsidTr="00F01C67">
        <w:trPr>
          <w:trHeight w:val="250"/>
        </w:trPr>
        <w:tc>
          <w:tcPr>
            <w:tcW w:w="785" w:type="dxa"/>
            <w:tcBorders>
              <w:top w:val="nil"/>
              <w:left w:val="single" w:sz="4" w:space="0" w:color="auto"/>
              <w:bottom w:val="single" w:sz="4" w:space="0" w:color="auto"/>
              <w:right w:val="single" w:sz="4" w:space="0" w:color="auto"/>
            </w:tcBorders>
            <w:shd w:val="clear" w:color="000000" w:fill="F2F2F2"/>
            <w:vAlign w:val="bottom"/>
            <w:hideMark/>
          </w:tcPr>
          <w:p w14:paraId="2E02EA6C" w14:textId="77777777" w:rsidR="001C60EB" w:rsidRDefault="001C60EB" w:rsidP="002E5AC9">
            <w:pPr>
              <w:rPr>
                <w:rFonts w:ascii="Calibri" w:hAnsi="Calibri" w:cs="Calibri"/>
                <w:color w:val="000000"/>
              </w:rPr>
            </w:pPr>
            <w:r>
              <w:rPr>
                <w:rFonts w:ascii="Calibri" w:hAnsi="Calibri" w:cs="Calibri"/>
                <w:color w:val="000000"/>
              </w:rPr>
              <w:t> </w:t>
            </w:r>
          </w:p>
        </w:tc>
        <w:tc>
          <w:tcPr>
            <w:tcW w:w="1836" w:type="dxa"/>
            <w:tcBorders>
              <w:top w:val="nil"/>
              <w:left w:val="nil"/>
              <w:bottom w:val="single" w:sz="4" w:space="0" w:color="auto"/>
              <w:right w:val="single" w:sz="4" w:space="0" w:color="auto"/>
            </w:tcBorders>
            <w:shd w:val="clear" w:color="000000" w:fill="F2F2F2"/>
            <w:vAlign w:val="bottom"/>
            <w:hideMark/>
          </w:tcPr>
          <w:p w14:paraId="40E7F199" w14:textId="77777777" w:rsidR="001C60EB" w:rsidRPr="00997784" w:rsidRDefault="001C60EB" w:rsidP="002E5AC9">
            <w:pPr>
              <w:rPr>
                <w:color w:val="000000"/>
                <w:sz w:val="20"/>
                <w:szCs w:val="20"/>
              </w:rPr>
            </w:pPr>
            <w:r w:rsidRPr="00997784">
              <w:rPr>
                <w:color w:val="000000"/>
                <w:sz w:val="20"/>
                <w:szCs w:val="20"/>
              </w:rPr>
              <w:t>Prenijeto stanje iz prethodne godine</w:t>
            </w:r>
          </w:p>
        </w:tc>
        <w:tc>
          <w:tcPr>
            <w:tcW w:w="1667" w:type="dxa"/>
            <w:tcBorders>
              <w:top w:val="nil"/>
              <w:left w:val="nil"/>
              <w:bottom w:val="single" w:sz="4" w:space="0" w:color="auto"/>
              <w:right w:val="single" w:sz="4" w:space="0" w:color="auto"/>
            </w:tcBorders>
            <w:shd w:val="clear" w:color="000000" w:fill="F2F2F2"/>
            <w:vAlign w:val="bottom"/>
            <w:hideMark/>
          </w:tcPr>
          <w:p w14:paraId="1D2C558C" w14:textId="3DA7518C" w:rsidR="001C60EB" w:rsidRPr="00F01C67" w:rsidRDefault="001C60EB" w:rsidP="002E5AC9">
            <w:pPr>
              <w:jc w:val="center"/>
              <w:rPr>
                <w:color w:val="000000"/>
                <w:sz w:val="22"/>
                <w:szCs w:val="22"/>
              </w:rPr>
            </w:pPr>
            <w:r w:rsidRPr="00F01C67">
              <w:rPr>
                <w:color w:val="000000"/>
                <w:sz w:val="22"/>
                <w:szCs w:val="22"/>
              </w:rPr>
              <w:t>9</w:t>
            </w:r>
            <w:r w:rsidR="00A10B43">
              <w:rPr>
                <w:color w:val="000000"/>
                <w:sz w:val="22"/>
                <w:szCs w:val="22"/>
              </w:rPr>
              <w:t>.</w:t>
            </w:r>
            <w:r w:rsidRPr="00F01C67">
              <w:rPr>
                <w:color w:val="000000"/>
                <w:sz w:val="22"/>
                <w:szCs w:val="22"/>
              </w:rPr>
              <w:t>450</w:t>
            </w:r>
            <w:r w:rsidR="00A10B43">
              <w:rPr>
                <w:color w:val="000000"/>
                <w:sz w:val="22"/>
                <w:szCs w:val="22"/>
              </w:rPr>
              <w:t>.</w:t>
            </w:r>
            <w:r w:rsidRPr="00F01C67">
              <w:rPr>
                <w:color w:val="000000"/>
                <w:sz w:val="22"/>
                <w:szCs w:val="22"/>
              </w:rPr>
              <w:t>085</w:t>
            </w:r>
            <w:r w:rsidR="00A10B43">
              <w:rPr>
                <w:color w:val="000000"/>
                <w:sz w:val="22"/>
                <w:szCs w:val="22"/>
              </w:rPr>
              <w:t>,</w:t>
            </w:r>
            <w:r w:rsidRPr="00F01C67">
              <w:rPr>
                <w:color w:val="000000"/>
                <w:sz w:val="22"/>
                <w:szCs w:val="22"/>
              </w:rPr>
              <w:t>00 €</w:t>
            </w:r>
          </w:p>
        </w:tc>
        <w:tc>
          <w:tcPr>
            <w:tcW w:w="1667" w:type="dxa"/>
            <w:tcBorders>
              <w:top w:val="nil"/>
              <w:left w:val="nil"/>
              <w:bottom w:val="single" w:sz="4" w:space="0" w:color="auto"/>
              <w:right w:val="single" w:sz="4" w:space="0" w:color="auto"/>
            </w:tcBorders>
            <w:shd w:val="clear" w:color="000000" w:fill="F2F2F2"/>
            <w:vAlign w:val="bottom"/>
            <w:hideMark/>
          </w:tcPr>
          <w:p w14:paraId="48DAA2F7" w14:textId="77777777" w:rsidR="001C60EB" w:rsidRPr="00F01C67" w:rsidRDefault="001C60EB" w:rsidP="002E5AC9">
            <w:pPr>
              <w:jc w:val="center"/>
              <w:rPr>
                <w:color w:val="000000"/>
                <w:sz w:val="22"/>
                <w:szCs w:val="22"/>
              </w:rPr>
            </w:pPr>
            <w:r w:rsidRPr="00F01C67">
              <w:rPr>
                <w:color w:val="000000"/>
                <w:sz w:val="22"/>
                <w:szCs w:val="22"/>
              </w:rPr>
              <w:t> </w:t>
            </w:r>
          </w:p>
        </w:tc>
        <w:tc>
          <w:tcPr>
            <w:tcW w:w="1581" w:type="dxa"/>
            <w:tcBorders>
              <w:top w:val="nil"/>
              <w:left w:val="nil"/>
              <w:bottom w:val="single" w:sz="4" w:space="0" w:color="auto"/>
              <w:right w:val="single" w:sz="4" w:space="0" w:color="auto"/>
            </w:tcBorders>
            <w:shd w:val="clear" w:color="000000" w:fill="F2F2F2"/>
            <w:noWrap/>
            <w:vAlign w:val="bottom"/>
            <w:hideMark/>
          </w:tcPr>
          <w:p w14:paraId="06AAC609" w14:textId="77777777" w:rsidR="001C60EB" w:rsidRPr="00F01C67" w:rsidRDefault="001C60EB" w:rsidP="002E5AC9">
            <w:pPr>
              <w:jc w:val="center"/>
              <w:rPr>
                <w:color w:val="000000"/>
                <w:sz w:val="22"/>
                <w:szCs w:val="22"/>
              </w:rPr>
            </w:pPr>
            <w:r w:rsidRPr="00F01C67">
              <w:rPr>
                <w:color w:val="000000"/>
                <w:sz w:val="22"/>
                <w:szCs w:val="22"/>
              </w:rPr>
              <w:t> </w:t>
            </w:r>
          </w:p>
        </w:tc>
        <w:tc>
          <w:tcPr>
            <w:tcW w:w="3745" w:type="dxa"/>
            <w:tcBorders>
              <w:top w:val="nil"/>
              <w:left w:val="nil"/>
              <w:bottom w:val="single" w:sz="4" w:space="0" w:color="auto"/>
              <w:right w:val="single" w:sz="4" w:space="0" w:color="auto"/>
            </w:tcBorders>
            <w:shd w:val="clear" w:color="000000" w:fill="F2F2F2"/>
            <w:vAlign w:val="bottom"/>
            <w:hideMark/>
          </w:tcPr>
          <w:p w14:paraId="607BF4C0" w14:textId="0B37B0AE" w:rsidR="001C60EB" w:rsidRPr="00F01C67" w:rsidRDefault="001C60EB" w:rsidP="002E5AC9">
            <w:pPr>
              <w:jc w:val="center"/>
              <w:rPr>
                <w:color w:val="000000"/>
                <w:sz w:val="22"/>
                <w:szCs w:val="22"/>
              </w:rPr>
            </w:pPr>
            <w:r w:rsidRPr="00F01C67">
              <w:rPr>
                <w:color w:val="000000"/>
                <w:sz w:val="22"/>
                <w:szCs w:val="22"/>
              </w:rPr>
              <w:t>28</w:t>
            </w:r>
            <w:r w:rsidR="00A10B43">
              <w:rPr>
                <w:color w:val="000000"/>
                <w:sz w:val="22"/>
                <w:szCs w:val="22"/>
              </w:rPr>
              <w:t>.</w:t>
            </w:r>
            <w:r w:rsidRPr="00F01C67">
              <w:rPr>
                <w:color w:val="000000"/>
                <w:sz w:val="22"/>
                <w:szCs w:val="22"/>
              </w:rPr>
              <w:t>280</w:t>
            </w:r>
            <w:r w:rsidR="00A10B43">
              <w:rPr>
                <w:color w:val="000000"/>
                <w:sz w:val="22"/>
                <w:szCs w:val="22"/>
              </w:rPr>
              <w:t>.</w:t>
            </w:r>
            <w:r w:rsidRPr="00F01C67">
              <w:rPr>
                <w:color w:val="000000"/>
                <w:sz w:val="22"/>
                <w:szCs w:val="22"/>
              </w:rPr>
              <w:t>805</w:t>
            </w:r>
            <w:r w:rsidR="00A10B43">
              <w:rPr>
                <w:color w:val="000000"/>
                <w:sz w:val="22"/>
                <w:szCs w:val="22"/>
              </w:rPr>
              <w:t>,</w:t>
            </w:r>
            <w:r w:rsidRPr="00F01C67">
              <w:rPr>
                <w:color w:val="000000"/>
                <w:sz w:val="22"/>
                <w:szCs w:val="22"/>
              </w:rPr>
              <w:t>82 €</w:t>
            </w:r>
          </w:p>
        </w:tc>
      </w:tr>
      <w:tr w:rsidR="001C60EB" w14:paraId="67F3CEB8" w14:textId="77777777" w:rsidTr="00F01C67">
        <w:trPr>
          <w:trHeight w:val="258"/>
        </w:trPr>
        <w:tc>
          <w:tcPr>
            <w:tcW w:w="785" w:type="dxa"/>
            <w:tcBorders>
              <w:top w:val="nil"/>
              <w:left w:val="single" w:sz="8" w:space="0" w:color="auto"/>
              <w:bottom w:val="single" w:sz="8" w:space="0" w:color="auto"/>
              <w:right w:val="single" w:sz="4" w:space="0" w:color="auto"/>
            </w:tcBorders>
            <w:shd w:val="clear" w:color="000000" w:fill="D9D9D9"/>
            <w:vAlign w:val="bottom"/>
            <w:hideMark/>
          </w:tcPr>
          <w:p w14:paraId="78CB5895" w14:textId="77777777" w:rsidR="001C60EB" w:rsidRDefault="001C60EB" w:rsidP="002E5AC9">
            <w:pPr>
              <w:rPr>
                <w:rFonts w:ascii="Calibri" w:hAnsi="Calibri" w:cs="Calibri"/>
                <w:b/>
                <w:bCs/>
                <w:color w:val="000000"/>
              </w:rPr>
            </w:pPr>
            <w:r>
              <w:rPr>
                <w:rFonts w:ascii="Calibri" w:hAnsi="Calibri" w:cs="Calibri"/>
                <w:b/>
                <w:bCs/>
                <w:color w:val="000000"/>
              </w:rPr>
              <w:t> </w:t>
            </w:r>
          </w:p>
        </w:tc>
        <w:tc>
          <w:tcPr>
            <w:tcW w:w="1836" w:type="dxa"/>
            <w:tcBorders>
              <w:top w:val="nil"/>
              <w:left w:val="nil"/>
              <w:bottom w:val="single" w:sz="8" w:space="0" w:color="auto"/>
              <w:right w:val="single" w:sz="4" w:space="0" w:color="auto"/>
            </w:tcBorders>
            <w:shd w:val="clear" w:color="000000" w:fill="D9D9D9"/>
            <w:vAlign w:val="bottom"/>
            <w:hideMark/>
          </w:tcPr>
          <w:p w14:paraId="2C12491C" w14:textId="77777777" w:rsidR="001C60EB" w:rsidRPr="00997784" w:rsidRDefault="001C60EB" w:rsidP="002E5AC9">
            <w:pPr>
              <w:rPr>
                <w:b/>
                <w:bCs/>
                <w:color w:val="000000"/>
                <w:sz w:val="20"/>
                <w:szCs w:val="20"/>
              </w:rPr>
            </w:pPr>
            <w:r w:rsidRPr="00997784">
              <w:rPr>
                <w:b/>
                <w:bCs/>
                <w:color w:val="000000"/>
                <w:sz w:val="20"/>
                <w:szCs w:val="20"/>
              </w:rPr>
              <w:t>UKUPNI PRILIVI</w:t>
            </w:r>
          </w:p>
        </w:tc>
        <w:tc>
          <w:tcPr>
            <w:tcW w:w="1667" w:type="dxa"/>
            <w:tcBorders>
              <w:top w:val="nil"/>
              <w:left w:val="nil"/>
              <w:bottom w:val="single" w:sz="8" w:space="0" w:color="auto"/>
              <w:right w:val="single" w:sz="4" w:space="0" w:color="auto"/>
            </w:tcBorders>
            <w:shd w:val="clear" w:color="000000" w:fill="D9D9D9"/>
            <w:vAlign w:val="bottom"/>
            <w:hideMark/>
          </w:tcPr>
          <w:p w14:paraId="548B901C" w14:textId="0DD6AE0C" w:rsidR="001C60EB" w:rsidRPr="00F01C67" w:rsidRDefault="001C60EB" w:rsidP="002E5AC9">
            <w:pPr>
              <w:jc w:val="center"/>
              <w:rPr>
                <w:b/>
                <w:bCs/>
                <w:color w:val="000000"/>
                <w:sz w:val="22"/>
                <w:szCs w:val="22"/>
              </w:rPr>
            </w:pPr>
            <w:r w:rsidRPr="00F01C67">
              <w:rPr>
                <w:b/>
                <w:bCs/>
                <w:color w:val="000000"/>
                <w:sz w:val="22"/>
                <w:szCs w:val="22"/>
              </w:rPr>
              <w:t>32</w:t>
            </w:r>
            <w:r w:rsidR="00A10B43">
              <w:rPr>
                <w:b/>
                <w:bCs/>
                <w:color w:val="000000"/>
                <w:sz w:val="22"/>
                <w:szCs w:val="22"/>
              </w:rPr>
              <w:t>.</w:t>
            </w:r>
            <w:r w:rsidRPr="00F01C67">
              <w:rPr>
                <w:b/>
                <w:bCs/>
                <w:color w:val="000000"/>
                <w:sz w:val="22"/>
                <w:szCs w:val="22"/>
              </w:rPr>
              <w:t>463</w:t>
            </w:r>
            <w:r w:rsidR="00A10B43">
              <w:rPr>
                <w:b/>
                <w:bCs/>
                <w:color w:val="000000"/>
                <w:sz w:val="22"/>
                <w:szCs w:val="22"/>
              </w:rPr>
              <w:t>.</w:t>
            </w:r>
            <w:r w:rsidRPr="00F01C67">
              <w:rPr>
                <w:b/>
                <w:bCs/>
                <w:color w:val="000000"/>
                <w:sz w:val="22"/>
                <w:szCs w:val="22"/>
              </w:rPr>
              <w:t>702</w:t>
            </w:r>
            <w:r w:rsidR="00A10B43">
              <w:rPr>
                <w:b/>
                <w:bCs/>
                <w:color w:val="000000"/>
                <w:sz w:val="22"/>
                <w:szCs w:val="22"/>
              </w:rPr>
              <w:t>,</w:t>
            </w:r>
            <w:r w:rsidRPr="00F01C67">
              <w:rPr>
                <w:b/>
                <w:bCs/>
                <w:color w:val="000000"/>
                <w:sz w:val="22"/>
                <w:szCs w:val="22"/>
              </w:rPr>
              <w:t>95 €</w:t>
            </w:r>
          </w:p>
        </w:tc>
        <w:tc>
          <w:tcPr>
            <w:tcW w:w="1667" w:type="dxa"/>
            <w:tcBorders>
              <w:top w:val="nil"/>
              <w:left w:val="nil"/>
              <w:bottom w:val="single" w:sz="8" w:space="0" w:color="auto"/>
              <w:right w:val="single" w:sz="4" w:space="0" w:color="auto"/>
            </w:tcBorders>
            <w:shd w:val="clear" w:color="000000" w:fill="D9D9D9"/>
            <w:vAlign w:val="bottom"/>
            <w:hideMark/>
          </w:tcPr>
          <w:p w14:paraId="09247351" w14:textId="77777777" w:rsidR="001C60EB" w:rsidRPr="00F01C67" w:rsidRDefault="001C60EB" w:rsidP="002E5AC9">
            <w:pPr>
              <w:jc w:val="center"/>
              <w:rPr>
                <w:b/>
                <w:bCs/>
                <w:color w:val="000000"/>
                <w:sz w:val="22"/>
                <w:szCs w:val="22"/>
              </w:rPr>
            </w:pPr>
            <w:r w:rsidRPr="00F01C67">
              <w:rPr>
                <w:b/>
                <w:bCs/>
                <w:color w:val="000000"/>
                <w:sz w:val="22"/>
                <w:szCs w:val="22"/>
              </w:rPr>
              <w:t> </w:t>
            </w:r>
          </w:p>
        </w:tc>
        <w:tc>
          <w:tcPr>
            <w:tcW w:w="1581" w:type="dxa"/>
            <w:tcBorders>
              <w:top w:val="nil"/>
              <w:left w:val="nil"/>
              <w:bottom w:val="single" w:sz="8" w:space="0" w:color="auto"/>
              <w:right w:val="single" w:sz="4" w:space="0" w:color="auto"/>
            </w:tcBorders>
            <w:shd w:val="clear" w:color="000000" w:fill="D9D9D9"/>
            <w:noWrap/>
            <w:vAlign w:val="bottom"/>
            <w:hideMark/>
          </w:tcPr>
          <w:p w14:paraId="5668A88A" w14:textId="77777777" w:rsidR="001C60EB" w:rsidRPr="00F01C67" w:rsidRDefault="001C60EB" w:rsidP="002E5AC9">
            <w:pPr>
              <w:jc w:val="center"/>
              <w:rPr>
                <w:b/>
                <w:bCs/>
                <w:color w:val="000000"/>
                <w:sz w:val="22"/>
                <w:szCs w:val="22"/>
              </w:rPr>
            </w:pPr>
            <w:r w:rsidRPr="00F01C67">
              <w:rPr>
                <w:b/>
                <w:bCs/>
                <w:color w:val="000000"/>
                <w:sz w:val="22"/>
                <w:szCs w:val="22"/>
              </w:rPr>
              <w:t> </w:t>
            </w:r>
          </w:p>
        </w:tc>
        <w:tc>
          <w:tcPr>
            <w:tcW w:w="3745" w:type="dxa"/>
            <w:tcBorders>
              <w:top w:val="nil"/>
              <w:left w:val="nil"/>
              <w:bottom w:val="single" w:sz="8" w:space="0" w:color="auto"/>
              <w:right w:val="single" w:sz="8" w:space="0" w:color="auto"/>
            </w:tcBorders>
            <w:shd w:val="clear" w:color="000000" w:fill="D9D9D9"/>
            <w:vAlign w:val="bottom"/>
            <w:hideMark/>
          </w:tcPr>
          <w:p w14:paraId="0816A63B" w14:textId="087AC682" w:rsidR="001C60EB" w:rsidRPr="00F01C67" w:rsidRDefault="001C60EB" w:rsidP="002E5AC9">
            <w:pPr>
              <w:jc w:val="center"/>
              <w:rPr>
                <w:b/>
                <w:bCs/>
                <w:color w:val="000000"/>
                <w:sz w:val="22"/>
                <w:szCs w:val="22"/>
              </w:rPr>
            </w:pPr>
            <w:r w:rsidRPr="00F01C67">
              <w:rPr>
                <w:b/>
                <w:bCs/>
                <w:color w:val="000000"/>
                <w:sz w:val="22"/>
                <w:szCs w:val="22"/>
              </w:rPr>
              <w:t>40</w:t>
            </w:r>
            <w:r w:rsidR="00A10B43">
              <w:rPr>
                <w:b/>
                <w:bCs/>
                <w:color w:val="000000"/>
                <w:sz w:val="22"/>
                <w:szCs w:val="22"/>
              </w:rPr>
              <w:t>.</w:t>
            </w:r>
            <w:r w:rsidR="00D91173" w:rsidRPr="00F01C67">
              <w:rPr>
                <w:b/>
                <w:bCs/>
                <w:color w:val="000000"/>
                <w:sz w:val="22"/>
                <w:szCs w:val="22"/>
              </w:rPr>
              <w:t>510</w:t>
            </w:r>
            <w:r w:rsidR="00A10B43">
              <w:rPr>
                <w:b/>
                <w:bCs/>
                <w:color w:val="000000"/>
                <w:sz w:val="22"/>
                <w:szCs w:val="22"/>
              </w:rPr>
              <w:t>.</w:t>
            </w:r>
            <w:r w:rsidR="00D91173" w:rsidRPr="00F01C67">
              <w:rPr>
                <w:b/>
                <w:bCs/>
                <w:color w:val="000000"/>
                <w:sz w:val="22"/>
                <w:szCs w:val="22"/>
              </w:rPr>
              <w:t>794</w:t>
            </w:r>
            <w:r w:rsidR="00A10B43">
              <w:rPr>
                <w:b/>
                <w:bCs/>
                <w:color w:val="000000"/>
                <w:sz w:val="22"/>
                <w:szCs w:val="22"/>
              </w:rPr>
              <w:t>,</w:t>
            </w:r>
            <w:r w:rsidRPr="00F01C67">
              <w:rPr>
                <w:b/>
                <w:bCs/>
                <w:color w:val="000000"/>
                <w:sz w:val="22"/>
                <w:szCs w:val="22"/>
              </w:rPr>
              <w:t>00 €</w:t>
            </w:r>
          </w:p>
        </w:tc>
      </w:tr>
    </w:tbl>
    <w:p w14:paraId="37016948" w14:textId="77777777" w:rsidR="001C60EB" w:rsidRDefault="001C60EB" w:rsidP="00DB63FA">
      <w:pPr>
        <w:keepLines/>
        <w:pBdr>
          <w:top w:val="nil"/>
          <w:left w:val="nil"/>
          <w:bottom w:val="nil"/>
          <w:right w:val="nil"/>
          <w:between w:val="nil"/>
        </w:pBdr>
        <w:spacing w:before="60"/>
        <w:jc w:val="both"/>
        <w:rPr>
          <w:rFonts w:eastAsia="Georgia"/>
        </w:rPr>
      </w:pPr>
    </w:p>
    <w:p w14:paraId="05C6F9E2" w14:textId="77777777" w:rsidR="001C60EB" w:rsidRDefault="001C60EB" w:rsidP="00DB63FA">
      <w:pPr>
        <w:keepLines/>
        <w:pBdr>
          <w:top w:val="nil"/>
          <w:left w:val="nil"/>
          <w:bottom w:val="nil"/>
          <w:right w:val="nil"/>
          <w:between w:val="nil"/>
        </w:pBdr>
        <w:spacing w:before="60"/>
        <w:jc w:val="both"/>
        <w:rPr>
          <w:rFonts w:eastAsia="Georgia"/>
        </w:rPr>
      </w:pPr>
    </w:p>
    <w:p w14:paraId="1A463194" w14:textId="77777777" w:rsidR="001C60EB" w:rsidRPr="00DE4F22" w:rsidRDefault="001C60EB" w:rsidP="00DB63FA">
      <w:pPr>
        <w:keepLines/>
        <w:pBdr>
          <w:top w:val="nil"/>
          <w:left w:val="nil"/>
          <w:bottom w:val="nil"/>
          <w:right w:val="nil"/>
          <w:between w:val="nil"/>
        </w:pBdr>
        <w:spacing w:before="60"/>
        <w:jc w:val="both"/>
        <w:rPr>
          <w:rFonts w:eastAsia="Georgia"/>
        </w:rPr>
      </w:pPr>
    </w:p>
    <w:p w14:paraId="0CF40B0A" w14:textId="73BA3940" w:rsidR="00B23966" w:rsidRPr="00DB5615" w:rsidRDefault="00DF5584" w:rsidP="006B20BC">
      <w:pPr>
        <w:pStyle w:val="ListParagraph"/>
        <w:numPr>
          <w:ilvl w:val="0"/>
          <w:numId w:val="37"/>
        </w:numPr>
        <w:rPr>
          <w:rFonts w:ascii="Times New Roman" w:eastAsia="Georgia" w:hAnsi="Times New Roman" w:cs="Times New Roman"/>
          <w:sz w:val="24"/>
        </w:rPr>
      </w:pPr>
      <w:r w:rsidRPr="00DB5615">
        <w:rPr>
          <w:rFonts w:ascii="Times New Roman" w:eastAsia="Georgia" w:hAnsi="Times New Roman" w:cs="Times New Roman"/>
          <w:sz w:val="24"/>
        </w:rPr>
        <w:t xml:space="preserve">Projekcija priliva po osnovu eko-naknada izvršena je na osnovu </w:t>
      </w:r>
      <w:r w:rsidR="00F06ECC" w:rsidRPr="00DB5615">
        <w:rPr>
          <w:rFonts w:ascii="Times New Roman" w:eastAsia="Georgia" w:hAnsi="Times New Roman" w:cs="Times New Roman"/>
          <w:sz w:val="24"/>
        </w:rPr>
        <w:t>izdatih rješenja i ostvarenih priliva po tom osnovu u toku 202</w:t>
      </w:r>
      <w:r w:rsidR="001C60EB" w:rsidRPr="00DB5615">
        <w:rPr>
          <w:rFonts w:ascii="Times New Roman" w:eastAsia="Georgia" w:hAnsi="Times New Roman" w:cs="Times New Roman"/>
          <w:sz w:val="24"/>
        </w:rPr>
        <w:t>4-te</w:t>
      </w:r>
      <w:r w:rsidR="00F06ECC" w:rsidRPr="00DB5615">
        <w:rPr>
          <w:rFonts w:ascii="Times New Roman" w:eastAsia="Georgia" w:hAnsi="Times New Roman" w:cs="Times New Roman"/>
          <w:sz w:val="24"/>
        </w:rPr>
        <w:t xml:space="preserve"> godine.</w:t>
      </w:r>
    </w:p>
    <w:p w14:paraId="768C7909" w14:textId="72012A10" w:rsidR="00CE7840" w:rsidRPr="002C44E1" w:rsidRDefault="00FB20CE" w:rsidP="006B20BC">
      <w:pPr>
        <w:pStyle w:val="ListParagraph"/>
        <w:numPr>
          <w:ilvl w:val="0"/>
          <w:numId w:val="37"/>
        </w:numPr>
        <w:spacing w:after="0"/>
        <w:rPr>
          <w:rFonts w:ascii="Times New Roman" w:eastAsia="Georgia" w:hAnsi="Times New Roman" w:cs="Times New Roman"/>
          <w:color w:val="000000" w:themeColor="text1"/>
          <w:sz w:val="24"/>
          <w:lang w:val="sr-Latn-ME"/>
        </w:rPr>
      </w:pPr>
      <w:r w:rsidRPr="002C44E1">
        <w:rPr>
          <w:rFonts w:ascii="Times New Roman" w:eastAsia="Georgia" w:hAnsi="Times New Roman" w:cs="Times New Roman"/>
          <w:color w:val="000000" w:themeColor="text1"/>
          <w:sz w:val="24"/>
          <w:lang w:val="sr-Latn-ME"/>
        </w:rPr>
        <w:t xml:space="preserve">Projekcija priliva po osnovu </w:t>
      </w:r>
      <w:r w:rsidR="001D6789" w:rsidRPr="002C44E1">
        <w:rPr>
          <w:rFonts w:ascii="Times New Roman" w:eastAsia="Georgia" w:hAnsi="Times New Roman" w:cs="Times New Roman"/>
          <w:color w:val="000000" w:themeColor="text1"/>
          <w:sz w:val="24"/>
          <w:lang w:val="sr-Latn-ME"/>
        </w:rPr>
        <w:t>trgovine emisionim kreditima</w:t>
      </w:r>
      <w:r w:rsidRPr="002C44E1">
        <w:rPr>
          <w:rFonts w:ascii="Times New Roman" w:eastAsia="Georgia" w:hAnsi="Times New Roman" w:cs="Times New Roman"/>
          <w:color w:val="000000" w:themeColor="text1"/>
          <w:sz w:val="24"/>
          <w:lang w:val="sr-Latn-ME"/>
        </w:rPr>
        <w:t xml:space="preserve"> izvršena je na osnovu</w:t>
      </w:r>
      <w:r w:rsidR="00C838A9" w:rsidRPr="002C44E1">
        <w:rPr>
          <w:rFonts w:ascii="Times New Roman" w:eastAsia="Georgia" w:hAnsi="Times New Roman" w:cs="Times New Roman"/>
          <w:color w:val="000000" w:themeColor="text1"/>
          <w:sz w:val="24"/>
          <w:lang w:val="sr-Latn-ME"/>
        </w:rPr>
        <w:t xml:space="preserve"> </w:t>
      </w:r>
      <w:r w:rsidR="00DB5615" w:rsidRPr="002C44E1">
        <w:rPr>
          <w:rFonts w:ascii="Times New Roman" w:eastAsia="Georgia" w:hAnsi="Times New Roman" w:cs="Times New Roman"/>
          <w:color w:val="000000" w:themeColor="text1"/>
          <w:sz w:val="24"/>
          <w:lang w:val="sr-Latn-ME"/>
        </w:rPr>
        <w:t>procjene potrošnje uglja.</w:t>
      </w:r>
    </w:p>
    <w:p w14:paraId="467EB376" w14:textId="44A8E774" w:rsidR="000F0AC2" w:rsidRPr="006B20BC" w:rsidRDefault="00D36322" w:rsidP="006B20BC">
      <w:pPr>
        <w:pStyle w:val="ListParagraph"/>
        <w:numPr>
          <w:ilvl w:val="0"/>
          <w:numId w:val="37"/>
        </w:numPr>
        <w:spacing w:after="160" w:line="259" w:lineRule="auto"/>
        <w:rPr>
          <w:rFonts w:ascii="Times New Roman" w:eastAsia="Georgia" w:hAnsi="Times New Roman" w:cs="Times New Roman"/>
          <w:color w:val="000000" w:themeColor="text1"/>
          <w:sz w:val="24"/>
          <w:lang w:val="sr-Latn-ME" w:eastAsia="en-GB"/>
        </w:rPr>
      </w:pPr>
      <w:r w:rsidRPr="002C44E1">
        <w:rPr>
          <w:rFonts w:ascii="Times New Roman" w:eastAsia="Georgia" w:hAnsi="Times New Roman" w:cs="Times New Roman"/>
          <w:color w:val="000000" w:themeColor="text1"/>
          <w:sz w:val="24"/>
          <w:lang w:val="sr-Latn-ME" w:eastAsia="en-GB"/>
        </w:rPr>
        <w:t xml:space="preserve">Sekreterijat </w:t>
      </w:r>
      <w:r w:rsidR="00242C33" w:rsidRPr="002C44E1">
        <w:rPr>
          <w:rFonts w:ascii="Times New Roman" w:eastAsia="Georgia" w:hAnsi="Times New Roman" w:cs="Times New Roman"/>
          <w:color w:val="000000" w:themeColor="text1"/>
          <w:sz w:val="24"/>
          <w:lang w:val="sr-Latn-ME" w:eastAsia="en-GB"/>
        </w:rPr>
        <w:t>Zelenog Klimatskog</w:t>
      </w:r>
      <w:r w:rsidR="00242C33" w:rsidRPr="00DE4F22">
        <w:rPr>
          <w:rFonts w:ascii="Times New Roman" w:eastAsia="Georgia" w:hAnsi="Times New Roman" w:cs="Times New Roman"/>
          <w:color w:val="000000" w:themeColor="text1"/>
          <w:sz w:val="24"/>
          <w:lang w:val="sr-Latn-ME" w:eastAsia="en-GB"/>
        </w:rPr>
        <w:t xml:space="preserve"> fonda (ZKF), odobrio je prijedlog projekta „</w:t>
      </w:r>
      <w:r w:rsidR="005566E4" w:rsidRPr="00DE4F22">
        <w:rPr>
          <w:rFonts w:ascii="Times New Roman" w:eastAsia="Georgia" w:hAnsi="Times New Roman" w:cs="Times New Roman"/>
          <w:color w:val="000000" w:themeColor="text1"/>
          <w:sz w:val="24"/>
          <w:lang w:val="sr-Latn-ME" w:eastAsia="en-GB"/>
        </w:rPr>
        <w:t>Unaprjeđenje</w:t>
      </w:r>
      <w:r w:rsidR="00242C33" w:rsidRPr="00DE4F22">
        <w:rPr>
          <w:rFonts w:ascii="Times New Roman" w:eastAsia="Georgia" w:hAnsi="Times New Roman" w:cs="Times New Roman"/>
          <w:color w:val="000000" w:themeColor="text1"/>
          <w:sz w:val="24"/>
          <w:lang w:val="sr-Latn-ME" w:eastAsia="en-GB"/>
        </w:rPr>
        <w:t xml:space="preserve"> kapaciteta Nacionalne kontakt osobe u Crnoj Gori za angažovanje sa ZKF-om i jačanje strateškog plana projekata zemlje za podršku implementaciji ažuriranog Nacionalno utvrđenog doprinosa NDC 2</w:t>
      </w:r>
      <w:r w:rsidR="00E955FE" w:rsidRPr="00DE4F22">
        <w:rPr>
          <w:rFonts w:ascii="Times New Roman" w:eastAsia="Georgia" w:hAnsi="Times New Roman" w:cs="Times New Roman"/>
          <w:color w:val="000000" w:themeColor="text1"/>
          <w:sz w:val="24"/>
          <w:lang w:val="sr-Latn-ME" w:eastAsia="en-GB"/>
        </w:rPr>
        <w:t>”</w:t>
      </w:r>
      <w:r w:rsidR="00242C33" w:rsidRPr="00DE4F22">
        <w:rPr>
          <w:rFonts w:ascii="Times New Roman" w:eastAsia="Georgia" w:hAnsi="Times New Roman" w:cs="Times New Roman"/>
          <w:color w:val="000000" w:themeColor="text1"/>
          <w:sz w:val="24"/>
          <w:lang w:val="sr-Latn-ME" w:eastAsia="en-GB"/>
        </w:rPr>
        <w:t>,</w:t>
      </w:r>
      <w:r w:rsidR="001279F9" w:rsidRPr="00DE4F22">
        <w:rPr>
          <w:rFonts w:ascii="Times New Roman" w:eastAsia="Georgia" w:hAnsi="Times New Roman" w:cs="Times New Roman"/>
          <w:color w:val="000000" w:themeColor="text1"/>
          <w:sz w:val="24"/>
          <w:lang w:val="sr-Latn-ME" w:eastAsia="en-GB"/>
        </w:rPr>
        <w:t xml:space="preserve"> broj dokumenta: DCP/2022/593, </w:t>
      </w:r>
      <w:r w:rsidR="00242C33" w:rsidRPr="00DE4F22">
        <w:rPr>
          <w:rFonts w:ascii="Times New Roman" w:eastAsia="Georgia" w:hAnsi="Times New Roman" w:cs="Times New Roman"/>
          <w:color w:val="000000" w:themeColor="text1"/>
          <w:sz w:val="24"/>
          <w:lang w:val="sr-Latn-ME" w:eastAsia="en-GB"/>
        </w:rPr>
        <w:t xml:space="preserve">koji će sprovoditi Eko-fond. Nakon niza konsultacija sa ZKF, </w:t>
      </w:r>
      <w:r w:rsidR="00E955FE" w:rsidRPr="00DE4F22">
        <w:rPr>
          <w:rFonts w:ascii="Times New Roman" w:eastAsia="Georgia" w:hAnsi="Times New Roman" w:cs="Times New Roman"/>
          <w:color w:val="000000" w:themeColor="text1"/>
          <w:sz w:val="24"/>
          <w:lang w:val="sr-Latn-ME" w:eastAsia="en-GB"/>
        </w:rPr>
        <w:t>P</w:t>
      </w:r>
      <w:r w:rsidR="00242C33" w:rsidRPr="00DE4F22">
        <w:rPr>
          <w:rFonts w:ascii="Times New Roman" w:eastAsia="Georgia" w:hAnsi="Times New Roman" w:cs="Times New Roman"/>
          <w:color w:val="000000" w:themeColor="text1"/>
          <w:sz w:val="24"/>
          <w:lang w:val="sr-Latn-ME" w:eastAsia="en-GB"/>
        </w:rPr>
        <w:t>rijedlog projekta je odobren novembra 2022. godine, dok je zvanična informacija za odobrenje Projekta dostavljena sredinom januara 2023. g</w:t>
      </w:r>
      <w:r w:rsidR="00DE4F22">
        <w:rPr>
          <w:rFonts w:ascii="Times New Roman" w:eastAsia="Georgia" w:hAnsi="Times New Roman" w:cs="Times New Roman"/>
          <w:color w:val="000000" w:themeColor="text1"/>
          <w:sz w:val="24"/>
          <w:lang w:val="sr-Latn-ME" w:eastAsia="en-GB"/>
        </w:rPr>
        <w:t>odine</w:t>
      </w:r>
      <w:r w:rsidR="00242C33" w:rsidRPr="00DE4F22">
        <w:rPr>
          <w:rFonts w:ascii="Times New Roman" w:eastAsia="Georgia" w:hAnsi="Times New Roman" w:cs="Times New Roman"/>
          <w:color w:val="000000" w:themeColor="text1"/>
          <w:sz w:val="24"/>
          <w:lang w:val="sr-Latn-ME" w:eastAsia="en-GB"/>
        </w:rPr>
        <w:t>. Projekat je odobren u grant iznosu od 299.514</w:t>
      </w:r>
      <w:r w:rsidR="00E955FE" w:rsidRPr="00DE4F22">
        <w:rPr>
          <w:rFonts w:ascii="Times New Roman" w:eastAsia="Georgia" w:hAnsi="Times New Roman" w:cs="Times New Roman"/>
          <w:color w:val="000000" w:themeColor="text1"/>
          <w:sz w:val="24"/>
          <w:lang w:val="sr-Latn-ME" w:eastAsia="en-GB"/>
        </w:rPr>
        <w:t>,00</w:t>
      </w:r>
      <w:r w:rsidR="00242C33" w:rsidRPr="00DE4F22">
        <w:rPr>
          <w:rFonts w:ascii="Times New Roman" w:eastAsia="Georgia" w:hAnsi="Times New Roman" w:cs="Times New Roman"/>
          <w:color w:val="000000" w:themeColor="text1"/>
          <w:sz w:val="24"/>
          <w:lang w:val="sr-Latn-ME" w:eastAsia="en-GB"/>
        </w:rPr>
        <w:t xml:space="preserve"> USD finansiran od strane ZKF, sa periodom implementacije od 12 do 18 mjeseci.</w:t>
      </w:r>
      <w:r w:rsidR="00B35B63" w:rsidRPr="00DE4F22">
        <w:rPr>
          <w:rFonts w:ascii="Times New Roman" w:eastAsia="Georgia" w:hAnsi="Times New Roman" w:cs="Times New Roman"/>
          <w:color w:val="000000" w:themeColor="text1"/>
          <w:sz w:val="24"/>
          <w:lang w:val="sr-Latn-ME" w:eastAsia="en-GB"/>
        </w:rPr>
        <w:br/>
        <w:t>Prva tranša isplate u iznosu od 135</w:t>
      </w:r>
      <w:r w:rsidR="00DE4F22">
        <w:rPr>
          <w:rFonts w:ascii="Times New Roman" w:eastAsia="Georgia" w:hAnsi="Times New Roman" w:cs="Times New Roman"/>
          <w:color w:val="000000" w:themeColor="text1"/>
          <w:sz w:val="24"/>
          <w:lang w:val="sr-Latn-ME" w:eastAsia="en-GB"/>
        </w:rPr>
        <w:t>.</w:t>
      </w:r>
      <w:r w:rsidR="00B35B63" w:rsidRPr="00DE4F22">
        <w:rPr>
          <w:rFonts w:ascii="Times New Roman" w:eastAsia="Georgia" w:hAnsi="Times New Roman" w:cs="Times New Roman"/>
          <w:color w:val="000000" w:themeColor="text1"/>
          <w:sz w:val="24"/>
          <w:lang w:val="sr-Latn-ME" w:eastAsia="en-GB"/>
        </w:rPr>
        <w:t>546</w:t>
      </w:r>
      <w:r w:rsidR="00DE4F22">
        <w:rPr>
          <w:rFonts w:ascii="Times New Roman" w:eastAsia="Georgia" w:hAnsi="Times New Roman" w:cs="Times New Roman"/>
          <w:color w:val="000000" w:themeColor="text1"/>
          <w:sz w:val="24"/>
          <w:lang w:val="sr-Latn-ME" w:eastAsia="en-GB"/>
        </w:rPr>
        <w:t>,</w:t>
      </w:r>
      <w:r w:rsidR="00B35B63" w:rsidRPr="00DE4F22">
        <w:rPr>
          <w:rFonts w:ascii="Times New Roman" w:eastAsia="Georgia" w:hAnsi="Times New Roman" w:cs="Times New Roman"/>
          <w:color w:val="000000" w:themeColor="text1"/>
          <w:sz w:val="24"/>
          <w:lang w:val="sr-Latn-ME" w:eastAsia="en-GB"/>
        </w:rPr>
        <w:t>17</w:t>
      </w:r>
      <w:r w:rsidR="00B35B63" w:rsidRPr="00DE4F22">
        <w:rPr>
          <w:rFonts w:ascii="Times New Roman" w:eastAsia="Georgia" w:hAnsi="Times New Roman" w:cs="Times New Roman"/>
          <w:sz w:val="24"/>
          <w:lang w:val="sr-Latn-ME"/>
        </w:rPr>
        <w:t>€ uplaćena je u junu 2023. godine. Iznos sa kojim se raspl</w:t>
      </w:r>
      <w:r w:rsidR="00680B8B" w:rsidRPr="00DE4F22">
        <w:rPr>
          <w:rFonts w:ascii="Times New Roman" w:eastAsia="Georgia" w:hAnsi="Times New Roman" w:cs="Times New Roman"/>
          <w:sz w:val="24"/>
          <w:lang w:val="sr-Latn-ME"/>
        </w:rPr>
        <w:t>a</w:t>
      </w:r>
      <w:r w:rsidR="00B35B63" w:rsidRPr="00DE4F22">
        <w:rPr>
          <w:rFonts w:ascii="Times New Roman" w:eastAsia="Georgia" w:hAnsi="Times New Roman" w:cs="Times New Roman"/>
          <w:sz w:val="24"/>
          <w:lang w:val="sr-Latn-ME"/>
        </w:rPr>
        <w:t xml:space="preserve">že na kraju godine iznosi </w:t>
      </w:r>
      <w:r w:rsidR="006B20BC">
        <w:rPr>
          <w:rFonts w:ascii="Times New Roman" w:eastAsia="Georgia" w:hAnsi="Times New Roman" w:cs="Times New Roman"/>
          <w:sz w:val="24"/>
          <w:lang w:val="sr-Latn-ME"/>
        </w:rPr>
        <w:t>67.741,60</w:t>
      </w:r>
      <w:r w:rsidR="00B35B63" w:rsidRPr="00DE4F22">
        <w:rPr>
          <w:rFonts w:ascii="Times New Roman" w:eastAsia="Georgia" w:hAnsi="Times New Roman" w:cs="Times New Roman"/>
          <w:sz w:val="24"/>
          <w:lang w:val="sr-Latn-ME"/>
        </w:rPr>
        <w:t>€, dok se u 202</w:t>
      </w:r>
      <w:r w:rsidR="006B20BC">
        <w:rPr>
          <w:rFonts w:ascii="Times New Roman" w:eastAsia="Georgia" w:hAnsi="Times New Roman" w:cs="Times New Roman"/>
          <w:sz w:val="24"/>
          <w:lang w:val="sr-Latn-ME"/>
        </w:rPr>
        <w:t>5</w:t>
      </w:r>
      <w:r w:rsidR="00B35B63" w:rsidRPr="00DE4F22">
        <w:rPr>
          <w:rFonts w:ascii="Times New Roman" w:eastAsia="Georgia" w:hAnsi="Times New Roman" w:cs="Times New Roman"/>
          <w:sz w:val="24"/>
          <w:lang w:val="sr-Latn-ME"/>
        </w:rPr>
        <w:t xml:space="preserve">. godini </w:t>
      </w:r>
      <w:r w:rsidR="000F0AC2" w:rsidRPr="00DE4F22">
        <w:rPr>
          <w:rFonts w:ascii="Times New Roman" w:eastAsia="Georgia" w:hAnsi="Times New Roman" w:cs="Times New Roman"/>
          <w:sz w:val="24"/>
          <w:lang w:val="sr-Latn-ME"/>
        </w:rPr>
        <w:t xml:space="preserve">po ispostavljanju izvještaja i prateće dokumentacije, kao i indikatora da je potrošeno 70% prve tranše, </w:t>
      </w:r>
      <w:r w:rsidR="00B35B63" w:rsidRPr="00DE4F22">
        <w:rPr>
          <w:rFonts w:ascii="Times New Roman" w:eastAsia="Georgia" w:hAnsi="Times New Roman" w:cs="Times New Roman"/>
          <w:sz w:val="24"/>
          <w:lang w:val="sr-Latn-ME"/>
        </w:rPr>
        <w:t>očekuje isplata druge tranše u iznosu od 110</w:t>
      </w:r>
      <w:r w:rsidR="005566E4" w:rsidRPr="00DE4F22">
        <w:rPr>
          <w:rFonts w:ascii="Times New Roman" w:eastAsia="Georgia" w:hAnsi="Times New Roman" w:cs="Times New Roman"/>
          <w:sz w:val="24"/>
          <w:lang w:val="sr-Latn-ME"/>
        </w:rPr>
        <w:t>.</w:t>
      </w:r>
      <w:r w:rsidR="00B35B63" w:rsidRPr="00DE4F22">
        <w:rPr>
          <w:rFonts w:ascii="Times New Roman" w:eastAsia="Georgia" w:hAnsi="Times New Roman" w:cs="Times New Roman"/>
          <w:sz w:val="24"/>
          <w:lang w:val="sr-Latn-ME"/>
        </w:rPr>
        <w:t>000</w:t>
      </w:r>
      <w:r w:rsidR="005566E4" w:rsidRPr="00DE4F22">
        <w:rPr>
          <w:rFonts w:ascii="Times New Roman" w:eastAsia="Georgia" w:hAnsi="Times New Roman" w:cs="Times New Roman"/>
          <w:sz w:val="24"/>
          <w:lang w:val="sr-Latn-ME"/>
        </w:rPr>
        <w:t>,</w:t>
      </w:r>
      <w:r w:rsidR="00B35B63" w:rsidRPr="00DE4F22">
        <w:rPr>
          <w:rFonts w:ascii="Times New Roman" w:eastAsia="Georgia" w:hAnsi="Times New Roman" w:cs="Times New Roman"/>
          <w:sz w:val="24"/>
          <w:lang w:val="sr-Latn-ME"/>
        </w:rPr>
        <w:t>00€. Ukupan planirani iznos kojim će Eko</w:t>
      </w:r>
      <w:r w:rsidR="00C546EE" w:rsidRPr="00DE4F22">
        <w:rPr>
          <w:rFonts w:ascii="Times New Roman" w:eastAsia="Georgia" w:hAnsi="Times New Roman" w:cs="Times New Roman"/>
          <w:sz w:val="24"/>
          <w:lang w:val="sr-Latn-ME"/>
        </w:rPr>
        <w:t>-</w:t>
      </w:r>
      <w:r w:rsidR="00B35B63" w:rsidRPr="00DE4F22">
        <w:rPr>
          <w:rFonts w:ascii="Times New Roman" w:eastAsia="Georgia" w:hAnsi="Times New Roman" w:cs="Times New Roman"/>
          <w:sz w:val="24"/>
          <w:lang w:val="sr-Latn-ME"/>
        </w:rPr>
        <w:t xml:space="preserve">fond raspolagati u 2024. godini je </w:t>
      </w:r>
      <w:r w:rsidR="006B20BC">
        <w:rPr>
          <w:rFonts w:ascii="Times New Roman" w:eastAsia="Georgia" w:hAnsi="Times New Roman" w:cs="Times New Roman"/>
          <w:sz w:val="24"/>
          <w:lang w:val="sr-Latn-ME"/>
        </w:rPr>
        <w:t>177</w:t>
      </w:r>
      <w:r w:rsidR="00C546EE" w:rsidRPr="00DE4F22">
        <w:rPr>
          <w:rFonts w:ascii="Times New Roman" w:eastAsia="Georgia" w:hAnsi="Times New Roman" w:cs="Times New Roman"/>
          <w:sz w:val="24"/>
          <w:lang w:val="sr-Latn-ME"/>
        </w:rPr>
        <w:t>.</w:t>
      </w:r>
      <w:r w:rsidR="006B20BC">
        <w:rPr>
          <w:rFonts w:ascii="Times New Roman" w:eastAsia="Georgia" w:hAnsi="Times New Roman" w:cs="Times New Roman"/>
          <w:sz w:val="24"/>
          <w:lang w:val="sr-Latn-ME"/>
        </w:rPr>
        <w:t>741</w:t>
      </w:r>
      <w:r w:rsidR="00C546EE" w:rsidRPr="00DE4F22">
        <w:rPr>
          <w:rFonts w:ascii="Times New Roman" w:eastAsia="Georgia" w:hAnsi="Times New Roman" w:cs="Times New Roman"/>
          <w:sz w:val="24"/>
          <w:lang w:val="sr-Latn-ME"/>
        </w:rPr>
        <w:t>,</w:t>
      </w:r>
      <w:r w:rsidR="006B20BC">
        <w:rPr>
          <w:rFonts w:ascii="Times New Roman" w:eastAsia="Georgia" w:hAnsi="Times New Roman" w:cs="Times New Roman"/>
          <w:sz w:val="24"/>
          <w:lang w:val="sr-Latn-ME"/>
        </w:rPr>
        <w:t>60</w:t>
      </w:r>
      <w:r w:rsidR="00B35B63" w:rsidRPr="00DE4F22">
        <w:rPr>
          <w:rFonts w:ascii="Times New Roman" w:eastAsia="Georgia" w:hAnsi="Times New Roman" w:cs="Times New Roman"/>
          <w:sz w:val="24"/>
          <w:lang w:val="sr-Latn-ME"/>
        </w:rPr>
        <w:t>€</w:t>
      </w:r>
    </w:p>
    <w:p w14:paraId="649CCDED" w14:textId="03943E14" w:rsidR="006B20BC" w:rsidRPr="00517B74" w:rsidRDefault="006B20BC" w:rsidP="006B20BC">
      <w:pPr>
        <w:pStyle w:val="ListParagraph"/>
        <w:numPr>
          <w:ilvl w:val="0"/>
          <w:numId w:val="37"/>
        </w:numPr>
        <w:spacing w:after="160" w:line="259" w:lineRule="auto"/>
        <w:rPr>
          <w:rFonts w:ascii="Times New Roman" w:eastAsia="Georgia" w:hAnsi="Times New Roman" w:cs="Times New Roman"/>
          <w:color w:val="000000" w:themeColor="text1"/>
          <w:sz w:val="24"/>
          <w:lang w:val="sr-Latn-ME" w:eastAsia="en-GB"/>
        </w:rPr>
      </w:pPr>
      <w:r>
        <w:rPr>
          <w:rFonts w:ascii="Times New Roman" w:eastAsia="Georgia" w:hAnsi="Times New Roman" w:cs="Times New Roman"/>
          <w:sz w:val="24"/>
          <w:lang w:val="sr-Latn-ME"/>
        </w:rPr>
        <w:t>CMSR - Slovenija planiran je priliv u iznosu od 1.000.000,00</w:t>
      </w:r>
      <w:r w:rsidRPr="00DE4F22">
        <w:rPr>
          <w:rFonts w:ascii="Times New Roman" w:eastAsia="Georgia" w:hAnsi="Times New Roman" w:cs="Times New Roman"/>
          <w:sz w:val="24"/>
          <w:lang w:val="sr-Latn-ME"/>
        </w:rPr>
        <w:t>€</w:t>
      </w:r>
    </w:p>
    <w:p w14:paraId="1C9C9F02" w14:textId="19139ADA" w:rsidR="00517B74" w:rsidRPr="00517B74" w:rsidRDefault="00517B74" w:rsidP="00517B74">
      <w:pPr>
        <w:pStyle w:val="ListParagraph"/>
        <w:numPr>
          <w:ilvl w:val="0"/>
          <w:numId w:val="37"/>
        </w:numPr>
        <w:spacing w:after="160" w:line="259" w:lineRule="auto"/>
        <w:rPr>
          <w:rFonts w:ascii="Times New Roman" w:eastAsia="Georgia" w:hAnsi="Times New Roman" w:cs="Times New Roman"/>
          <w:sz w:val="24"/>
          <w:lang w:val="sr-Latn-ME"/>
        </w:rPr>
      </w:pPr>
      <w:r w:rsidRPr="00517B74">
        <w:rPr>
          <w:rFonts w:ascii="Times New Roman" w:eastAsia="Georgia" w:hAnsi="Times New Roman" w:cs="Times New Roman"/>
          <w:sz w:val="24"/>
          <w:lang w:val="sr-Latn-ME"/>
        </w:rPr>
        <w:t>Danube Region Programme</w:t>
      </w:r>
      <w:r>
        <w:rPr>
          <w:rFonts w:ascii="Times New Roman" w:eastAsia="Georgia" w:hAnsi="Times New Roman" w:cs="Times New Roman"/>
          <w:sz w:val="24"/>
          <w:lang w:val="sr-Latn-ME"/>
        </w:rPr>
        <w:t xml:space="preserve"> ESINERGY planiran je priliv u iznosu od 57.430,00</w:t>
      </w:r>
      <w:r w:rsidRPr="00DE4F22">
        <w:rPr>
          <w:rFonts w:ascii="Times New Roman" w:eastAsia="Georgia" w:hAnsi="Times New Roman" w:cs="Times New Roman"/>
          <w:sz w:val="24"/>
          <w:lang w:val="sr-Latn-ME"/>
        </w:rPr>
        <w:t>€</w:t>
      </w:r>
    </w:p>
    <w:p w14:paraId="022D0A7D" w14:textId="246D7C8E" w:rsidR="006B20BC" w:rsidRPr="002C44E1" w:rsidRDefault="006B20BC" w:rsidP="00DB5615">
      <w:pPr>
        <w:pStyle w:val="ListParagraph"/>
        <w:numPr>
          <w:ilvl w:val="0"/>
          <w:numId w:val="37"/>
        </w:numPr>
        <w:rPr>
          <w:rFonts w:ascii="Times New Roman" w:eastAsia="Georgia" w:hAnsi="Times New Roman" w:cs="Times New Roman"/>
          <w:sz w:val="24"/>
        </w:rPr>
      </w:pPr>
      <w:r w:rsidRPr="002C44E1">
        <w:rPr>
          <w:rFonts w:ascii="Times New Roman" w:eastAsia="Georgia" w:hAnsi="Times New Roman" w:cs="Times New Roman"/>
          <w:sz w:val="24"/>
          <w:lang w:val="sr-Latn-ME"/>
        </w:rPr>
        <w:t>Priliv po osnovu prometa plastičnih kesa planiram je u iznosu od 800.000,00€</w:t>
      </w:r>
      <w:r w:rsidR="00DB5615" w:rsidRPr="002C44E1">
        <w:rPr>
          <w:rFonts w:ascii="Times New Roman" w:eastAsia="Georgia" w:hAnsi="Times New Roman" w:cs="Times New Roman"/>
          <w:sz w:val="24"/>
          <w:lang w:val="sr-Latn-ME"/>
        </w:rPr>
        <w:t xml:space="preserve">. </w:t>
      </w:r>
      <w:r w:rsidR="00DB5615" w:rsidRPr="002C44E1">
        <w:rPr>
          <w:rFonts w:ascii="Times New Roman" w:eastAsia="Georgia" w:hAnsi="Times New Roman" w:cs="Times New Roman"/>
          <w:sz w:val="24"/>
        </w:rPr>
        <w:t>Projekcija priliva izvršena je na osnovu priliva poslednja tri mjeseca.</w:t>
      </w:r>
    </w:p>
    <w:p w14:paraId="3DABA915" w14:textId="16F084E2" w:rsidR="00161F7C" w:rsidRPr="00DE4F22" w:rsidRDefault="00161F7C" w:rsidP="006B20BC">
      <w:pPr>
        <w:pStyle w:val="ListParagraph"/>
        <w:numPr>
          <w:ilvl w:val="0"/>
          <w:numId w:val="37"/>
        </w:numPr>
        <w:spacing w:after="160" w:line="259" w:lineRule="auto"/>
        <w:rPr>
          <w:rFonts w:ascii="Times New Roman" w:eastAsia="Georgia" w:hAnsi="Times New Roman" w:cs="Times New Roman"/>
          <w:sz w:val="24"/>
          <w:lang w:val="sr-Latn-ME" w:eastAsia="en-GB"/>
        </w:rPr>
      </w:pPr>
      <w:r w:rsidRPr="00DE4F22">
        <w:rPr>
          <w:rFonts w:ascii="Times New Roman" w:eastAsia="Georgia" w:hAnsi="Times New Roman" w:cs="Times New Roman"/>
          <w:sz w:val="24"/>
          <w:lang w:val="sr-Latn-ME" w:eastAsia="en-GB"/>
        </w:rPr>
        <w:t xml:space="preserve">Potraživanja iz prethodnih godina u iznosu od </w:t>
      </w:r>
      <w:r w:rsidR="006B20BC">
        <w:rPr>
          <w:rFonts w:ascii="Times New Roman" w:eastAsia="Georgia" w:hAnsi="Times New Roman" w:cs="Times New Roman"/>
          <w:sz w:val="24"/>
          <w:lang w:val="sr-Latn-ME" w:eastAsia="en-GB"/>
        </w:rPr>
        <w:t>2.512.558,18</w:t>
      </w:r>
      <w:r w:rsidRPr="00DE4F22">
        <w:rPr>
          <w:rFonts w:ascii="Times New Roman" w:eastAsia="Georgia" w:hAnsi="Times New Roman" w:cs="Times New Roman"/>
          <w:sz w:val="24"/>
          <w:lang w:val="sr-Latn-ME"/>
        </w:rPr>
        <w:t>€.</w:t>
      </w:r>
    </w:p>
    <w:p w14:paraId="6CDCECCC" w14:textId="111E3F1C" w:rsidR="009348F2" w:rsidRPr="00DE4F22" w:rsidRDefault="009348F2" w:rsidP="006B20BC">
      <w:pPr>
        <w:pStyle w:val="ListParagraph"/>
        <w:numPr>
          <w:ilvl w:val="0"/>
          <w:numId w:val="37"/>
        </w:numPr>
        <w:rPr>
          <w:rFonts w:ascii="Times New Roman" w:eastAsia="Georgia" w:hAnsi="Times New Roman" w:cs="Times New Roman"/>
          <w:sz w:val="24"/>
          <w:lang w:val="sr-Latn-ME"/>
        </w:rPr>
      </w:pPr>
      <w:r w:rsidRPr="00DE4F22">
        <w:rPr>
          <w:rFonts w:ascii="Times New Roman" w:eastAsia="Georgia" w:hAnsi="Times New Roman" w:cs="Times New Roman"/>
          <w:sz w:val="24"/>
          <w:lang w:val="sr-Latn-ME"/>
        </w:rPr>
        <w:t xml:space="preserve">Prenijeto stanje iz prethodne godine odnosi se na početno stanje na tekućem računu na početku poslovne godine i iznosi </w:t>
      </w:r>
      <w:r w:rsidR="006B20BC">
        <w:rPr>
          <w:rFonts w:ascii="Times New Roman" w:eastAsia="Georgia" w:hAnsi="Times New Roman" w:cs="Times New Roman"/>
          <w:sz w:val="24"/>
          <w:lang w:val="sr-Latn-ME"/>
        </w:rPr>
        <w:t>28</w:t>
      </w:r>
      <w:r w:rsidRPr="00DE4F22">
        <w:rPr>
          <w:rFonts w:ascii="Times New Roman" w:eastAsia="Georgia" w:hAnsi="Times New Roman" w:cs="Times New Roman"/>
          <w:sz w:val="24"/>
          <w:lang w:val="sr-Latn-ME"/>
        </w:rPr>
        <w:t>.</w:t>
      </w:r>
      <w:r w:rsidR="006B20BC">
        <w:rPr>
          <w:rFonts w:ascii="Times New Roman" w:eastAsia="Georgia" w:hAnsi="Times New Roman" w:cs="Times New Roman"/>
          <w:sz w:val="24"/>
          <w:lang w:val="sr-Latn-ME"/>
        </w:rPr>
        <w:t>280</w:t>
      </w:r>
      <w:r w:rsidR="007950F9" w:rsidRPr="00DE4F22">
        <w:rPr>
          <w:rFonts w:ascii="Times New Roman" w:eastAsia="Georgia" w:hAnsi="Times New Roman" w:cs="Times New Roman"/>
          <w:sz w:val="24"/>
          <w:lang w:val="sr-Latn-ME"/>
        </w:rPr>
        <w:t>.</w:t>
      </w:r>
      <w:r w:rsidR="006B20BC">
        <w:rPr>
          <w:rFonts w:ascii="Times New Roman" w:eastAsia="Georgia" w:hAnsi="Times New Roman" w:cs="Times New Roman"/>
          <w:sz w:val="24"/>
          <w:lang w:val="sr-Latn-ME"/>
        </w:rPr>
        <w:t>805</w:t>
      </w:r>
      <w:r w:rsidRPr="00DE4F22">
        <w:rPr>
          <w:rFonts w:ascii="Times New Roman" w:eastAsia="Georgia" w:hAnsi="Times New Roman" w:cs="Times New Roman"/>
          <w:sz w:val="24"/>
          <w:lang w:val="sr-Latn-ME"/>
        </w:rPr>
        <w:t>,</w:t>
      </w:r>
      <w:r w:rsidR="006B20BC">
        <w:rPr>
          <w:rFonts w:ascii="Times New Roman" w:eastAsia="Georgia" w:hAnsi="Times New Roman" w:cs="Times New Roman"/>
          <w:sz w:val="24"/>
          <w:lang w:val="sr-Latn-ME"/>
        </w:rPr>
        <w:t>82</w:t>
      </w:r>
      <w:r w:rsidRPr="00DE4F22">
        <w:rPr>
          <w:rFonts w:ascii="Times New Roman" w:eastAsia="Georgia" w:hAnsi="Times New Roman" w:cs="Times New Roman"/>
          <w:sz w:val="24"/>
          <w:lang w:val="sr-Latn-ME"/>
        </w:rPr>
        <w:t xml:space="preserve">€. </w:t>
      </w:r>
    </w:p>
    <w:p w14:paraId="7275526E" w14:textId="0A1E9E8F" w:rsidR="00695808" w:rsidRPr="00DE4F22" w:rsidRDefault="009C2EB0" w:rsidP="009E74B1">
      <w:pPr>
        <w:pStyle w:val="Heading2"/>
        <w:shd w:val="clear" w:color="auto" w:fill="2F5496" w:themeFill="accent1" w:themeFillShade="BF"/>
        <w:rPr>
          <w:rFonts w:eastAsia="Georgia"/>
          <w:color w:val="FFFFFF" w:themeColor="background1"/>
        </w:rPr>
      </w:pPr>
      <w:r w:rsidRPr="00DE4F22">
        <w:rPr>
          <w:rFonts w:eastAsia="Georgia"/>
          <w:color w:val="FFFFFF" w:themeColor="background1"/>
        </w:rPr>
        <w:t xml:space="preserve"> </w:t>
      </w:r>
      <w:bookmarkStart w:id="4" w:name="_Toc195614773"/>
      <w:r w:rsidR="00A956ED" w:rsidRPr="00DE4F22">
        <w:rPr>
          <w:rFonts w:eastAsia="Georgia"/>
          <w:color w:val="FFFFFF" w:themeColor="background1"/>
        </w:rPr>
        <w:t xml:space="preserve">III </w:t>
      </w:r>
      <w:r w:rsidRPr="00DE4F22">
        <w:rPr>
          <w:rFonts w:eastAsia="Georgia"/>
          <w:color w:val="FFFFFF" w:themeColor="background1"/>
        </w:rPr>
        <w:t xml:space="preserve">PLAN </w:t>
      </w:r>
      <w:r w:rsidR="00164F6B" w:rsidRPr="00DE4F22">
        <w:rPr>
          <w:rFonts w:eastAsia="Georgia"/>
          <w:color w:val="FFFFFF" w:themeColor="background1"/>
        </w:rPr>
        <w:t>ODLIVA</w:t>
      </w:r>
      <w:bookmarkEnd w:id="4"/>
    </w:p>
    <w:p w14:paraId="19E83DC6" w14:textId="3BC534BB" w:rsidR="00695808" w:rsidRPr="00DE4F22" w:rsidRDefault="00164F6B" w:rsidP="007077A7">
      <w:pPr>
        <w:spacing w:before="240"/>
        <w:jc w:val="both"/>
        <w:rPr>
          <w:rFonts w:eastAsia="Georgia"/>
        </w:rPr>
      </w:pPr>
      <w:r w:rsidRPr="00DE4F22">
        <w:rPr>
          <w:rFonts w:eastAsia="Georgia"/>
        </w:rPr>
        <w:t xml:space="preserve">Odlivi </w:t>
      </w:r>
      <w:r w:rsidR="009C2EB0" w:rsidRPr="00DE4F22">
        <w:rPr>
          <w:rFonts w:eastAsia="Georgia"/>
        </w:rPr>
        <w:t>su usklađeni sa očekivanim obimom posl</w:t>
      </w:r>
      <w:r w:rsidR="009E681C" w:rsidRPr="00DE4F22">
        <w:rPr>
          <w:rFonts w:eastAsia="Georgia"/>
        </w:rPr>
        <w:t>a</w:t>
      </w:r>
      <w:r w:rsidR="009C2EB0" w:rsidRPr="00DE4F22">
        <w:rPr>
          <w:rFonts w:eastAsia="Georgia"/>
        </w:rPr>
        <w:t xml:space="preserve"> i potrebom blagovremenog izvršavanja programskih aktivnosti </w:t>
      </w:r>
      <w:r w:rsidR="00CE0E99" w:rsidRPr="00DE4F22">
        <w:rPr>
          <w:rFonts w:eastAsia="Georgia"/>
        </w:rPr>
        <w:t>Eko-fond</w:t>
      </w:r>
      <w:r w:rsidR="009C2EB0" w:rsidRPr="00DE4F22">
        <w:rPr>
          <w:rFonts w:eastAsia="Georgia"/>
        </w:rPr>
        <w:t>a i isti su planirani na osnovu detaljne procjene izdataka koji su neophodni za rad, odnosno ostvarivanje zadataka utvrđeni</w:t>
      </w:r>
      <w:r w:rsidR="00FB6AB3" w:rsidRPr="00DE4F22">
        <w:rPr>
          <w:rFonts w:eastAsia="Georgia"/>
        </w:rPr>
        <w:t>m</w:t>
      </w:r>
      <w:r w:rsidR="009C2EB0" w:rsidRPr="00DE4F22">
        <w:rPr>
          <w:rFonts w:eastAsia="Georgia"/>
        </w:rPr>
        <w:t xml:space="preserve"> Program</w:t>
      </w:r>
      <w:r w:rsidR="00FB6AB3" w:rsidRPr="00DE4F22">
        <w:rPr>
          <w:rFonts w:eastAsia="Georgia"/>
        </w:rPr>
        <w:t>om</w:t>
      </w:r>
      <w:r w:rsidR="009C2EB0" w:rsidRPr="00DE4F22">
        <w:rPr>
          <w:rFonts w:eastAsia="Georgia"/>
        </w:rPr>
        <w:t xml:space="preserve"> rada za 202</w:t>
      </w:r>
      <w:r w:rsidR="006B20BC">
        <w:rPr>
          <w:rFonts w:eastAsia="Georgia"/>
        </w:rPr>
        <w:t>5</w:t>
      </w:r>
      <w:r w:rsidR="009C2EB0" w:rsidRPr="00DE4F22">
        <w:rPr>
          <w:rFonts w:eastAsia="Georgia"/>
        </w:rPr>
        <w:t>. godinu.</w:t>
      </w:r>
    </w:p>
    <w:p w14:paraId="7D96997C" w14:textId="5DA73233" w:rsidR="00B361DF" w:rsidRPr="00DE4F22" w:rsidRDefault="00FB6AB3" w:rsidP="00F75288">
      <w:pPr>
        <w:jc w:val="both"/>
      </w:pPr>
      <w:r w:rsidRPr="00DE4F22">
        <w:t xml:space="preserve">Ukupni </w:t>
      </w:r>
      <w:r w:rsidR="0080415E" w:rsidRPr="00DE4F22">
        <w:t>odlivi</w:t>
      </w:r>
      <w:r w:rsidRPr="00DE4F22">
        <w:t xml:space="preserve"> planirani su u iznosu od </w:t>
      </w:r>
      <w:r w:rsidR="00063163">
        <w:rPr>
          <w:b/>
          <w:bCs/>
        </w:rPr>
        <w:t>38</w:t>
      </w:r>
      <w:r w:rsidR="0076140A" w:rsidRPr="00DE4F22">
        <w:rPr>
          <w:b/>
          <w:bCs/>
        </w:rPr>
        <w:t>.</w:t>
      </w:r>
      <w:r w:rsidR="00DF7469">
        <w:rPr>
          <w:b/>
          <w:bCs/>
        </w:rPr>
        <w:t>282</w:t>
      </w:r>
      <w:r w:rsidR="0069221F" w:rsidRPr="00DE4F22">
        <w:rPr>
          <w:b/>
          <w:bCs/>
        </w:rPr>
        <w:t>.</w:t>
      </w:r>
      <w:r w:rsidR="00DF7469">
        <w:rPr>
          <w:b/>
          <w:bCs/>
        </w:rPr>
        <w:t>810</w:t>
      </w:r>
      <w:r w:rsidR="0069221F" w:rsidRPr="00DE4F22">
        <w:rPr>
          <w:b/>
          <w:bCs/>
        </w:rPr>
        <w:t>,</w:t>
      </w:r>
      <w:r w:rsidR="00063163">
        <w:rPr>
          <w:b/>
          <w:bCs/>
        </w:rPr>
        <w:t>00</w:t>
      </w:r>
      <w:r w:rsidRPr="00DE4F22">
        <w:rPr>
          <w:b/>
          <w:bCs/>
        </w:rPr>
        <w:t>€</w:t>
      </w:r>
      <w:r w:rsidR="00DB63FA" w:rsidRPr="00DE4F22">
        <w:rPr>
          <w:b/>
          <w:bCs/>
        </w:rPr>
        <w:t>,</w:t>
      </w:r>
      <w:r w:rsidRPr="00DE4F22">
        <w:t xml:space="preserve"> </w:t>
      </w:r>
      <w:r w:rsidR="00DB63FA" w:rsidRPr="00DE4F22">
        <w:t>dok je</w:t>
      </w:r>
      <w:r w:rsidRPr="00DE4F22">
        <w:t xml:space="preserve"> struktura projektovanih </w:t>
      </w:r>
      <w:r w:rsidR="0080415E" w:rsidRPr="00DE4F22">
        <w:t>odliva</w:t>
      </w:r>
      <w:r w:rsidRPr="00DE4F22">
        <w:t xml:space="preserve"> za redovno poslovanje data u Tabeli br.</w:t>
      </w:r>
      <w:r w:rsidR="0005399C" w:rsidRPr="00DE4F22">
        <w:t xml:space="preserve"> </w:t>
      </w:r>
      <w:r w:rsidRPr="00DE4F22">
        <w:t>2.</w:t>
      </w:r>
      <w:r w:rsidR="007D78A0" w:rsidRPr="00DE4F22">
        <w:t xml:space="preserve"> </w:t>
      </w:r>
      <w:bookmarkStart w:id="5" w:name="_MON_1704105711"/>
      <w:bookmarkEnd w:id="5"/>
      <w:r w:rsidR="00B361DF" w:rsidRPr="00DE4F22">
        <w:rPr>
          <w:rFonts w:eastAsia="Georgia"/>
        </w:rPr>
        <w:fldChar w:fldCharType="begin"/>
      </w:r>
      <w:r w:rsidR="00B361DF" w:rsidRPr="00DE4F22">
        <w:rPr>
          <w:rFonts w:eastAsia="Georgia"/>
        </w:rPr>
        <w:instrText xml:space="preserve"> LINK Excel.Sheet.12 "C:\\Users\\andre\\Dropbox\\My PC (DESKTOP-IFVPLK8)\\Desktop\\1. Plan 2022\\Predlog projekata za 2022. godinu - Drasko 20.01.2021..xlsx" "Odlivi!R2C2:R57C4" \a \f 4 \h  \* MERGEFORMAT </w:instrText>
      </w:r>
      <w:r w:rsidR="00B361DF" w:rsidRPr="00DE4F22">
        <w:rPr>
          <w:rFonts w:eastAsia="Georgia"/>
        </w:rPr>
        <w:fldChar w:fldCharType="separate"/>
      </w:r>
    </w:p>
    <w:p w14:paraId="5AA558F8" w14:textId="77777777" w:rsidR="000B5CE0" w:rsidRPr="00DE4F22" w:rsidRDefault="00B361DF" w:rsidP="00B361DF">
      <w:pPr>
        <w:rPr>
          <w:rFonts w:ascii="Georgia" w:eastAsia="Georgia" w:hAnsi="Georgia" w:cs="Georgia"/>
        </w:rPr>
      </w:pPr>
      <w:r w:rsidRPr="00DE4F22">
        <w:rPr>
          <w:rFonts w:eastAsia="Georgia"/>
        </w:rPr>
        <w:fldChar w:fldCharType="end"/>
      </w:r>
    </w:p>
    <w:tbl>
      <w:tblPr>
        <w:tblW w:w="8900" w:type="dxa"/>
        <w:tblLook w:val="04A0" w:firstRow="1" w:lastRow="0" w:firstColumn="1" w:lastColumn="0" w:noHBand="0" w:noVBand="1"/>
      </w:tblPr>
      <w:tblGrid>
        <w:gridCol w:w="759"/>
        <w:gridCol w:w="6947"/>
        <w:gridCol w:w="1310"/>
      </w:tblGrid>
      <w:tr w:rsidR="00063163" w14:paraId="543382CA" w14:textId="77777777" w:rsidTr="00063163">
        <w:trPr>
          <w:trHeight w:val="290"/>
        </w:trPr>
        <w:tc>
          <w:tcPr>
            <w:tcW w:w="7580" w:type="dxa"/>
            <w:gridSpan w:val="2"/>
            <w:tcBorders>
              <w:top w:val="single" w:sz="4" w:space="0" w:color="A0A0A0"/>
              <w:left w:val="single" w:sz="4" w:space="0" w:color="A0A0A0"/>
              <w:bottom w:val="single" w:sz="4" w:space="0" w:color="A0A0A0"/>
              <w:right w:val="single" w:sz="4" w:space="0" w:color="A0A0A0"/>
            </w:tcBorders>
            <w:shd w:val="clear" w:color="000000" w:fill="FFFFFF"/>
            <w:noWrap/>
            <w:hideMark/>
          </w:tcPr>
          <w:p w14:paraId="79BCD4AA" w14:textId="70B8171D" w:rsidR="00063163" w:rsidRDefault="00063163">
            <w:pPr>
              <w:rPr>
                <w:rFonts w:ascii="Calibri" w:hAnsi="Calibri" w:cs="Calibri"/>
                <w:color w:val="364048"/>
                <w:sz w:val="18"/>
                <w:szCs w:val="18"/>
              </w:rPr>
            </w:pPr>
            <w:r>
              <w:rPr>
                <w:rFonts w:ascii="Calibri" w:hAnsi="Calibri" w:cs="Calibri"/>
                <w:color w:val="364048"/>
                <w:sz w:val="18"/>
                <w:szCs w:val="18"/>
              </w:rPr>
              <w:t>Tabela 2: Pregled odliva</w:t>
            </w:r>
            <w:r>
              <w:rPr>
                <w:rStyle w:val="FootnoteReference"/>
                <w:rFonts w:ascii="Calibri" w:hAnsi="Calibri" w:cs="Calibri"/>
                <w:color w:val="364048"/>
                <w:sz w:val="18"/>
                <w:szCs w:val="18"/>
              </w:rPr>
              <w:footnoteReference w:id="2"/>
            </w:r>
          </w:p>
        </w:tc>
        <w:tc>
          <w:tcPr>
            <w:tcW w:w="1320" w:type="dxa"/>
            <w:tcBorders>
              <w:top w:val="single" w:sz="4" w:space="0" w:color="A0A0A0"/>
              <w:left w:val="nil"/>
              <w:bottom w:val="single" w:sz="4" w:space="0" w:color="A0A0A0"/>
              <w:right w:val="single" w:sz="4" w:space="0" w:color="A0A0A0"/>
            </w:tcBorders>
            <w:shd w:val="clear" w:color="000000" w:fill="FFFFFF"/>
            <w:hideMark/>
          </w:tcPr>
          <w:p w14:paraId="5C37653B" w14:textId="77777777" w:rsidR="00063163" w:rsidRDefault="00063163">
            <w:pPr>
              <w:jc w:val="center"/>
              <w:rPr>
                <w:rFonts w:ascii="Calibri" w:hAnsi="Calibri" w:cs="Calibri"/>
                <w:color w:val="364048"/>
                <w:sz w:val="18"/>
                <w:szCs w:val="18"/>
              </w:rPr>
            </w:pPr>
            <w:r>
              <w:rPr>
                <w:rFonts w:ascii="Calibri" w:hAnsi="Calibri" w:cs="Calibri"/>
                <w:color w:val="364048"/>
                <w:sz w:val="18"/>
                <w:szCs w:val="18"/>
              </w:rPr>
              <w:t> </w:t>
            </w:r>
          </w:p>
        </w:tc>
      </w:tr>
      <w:tr w:rsidR="00063163" w14:paraId="433ED1FE"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572D70F9" w14:textId="77777777" w:rsidR="00063163" w:rsidRDefault="00063163">
            <w:pPr>
              <w:jc w:val="center"/>
              <w:rPr>
                <w:rFonts w:ascii="Calibri" w:hAnsi="Calibri" w:cs="Calibri"/>
                <w:color w:val="364048"/>
                <w:sz w:val="18"/>
                <w:szCs w:val="18"/>
              </w:rPr>
            </w:pPr>
            <w:r>
              <w:rPr>
                <w:rFonts w:ascii="Calibri" w:hAnsi="Calibri" w:cs="Calibri"/>
                <w:color w:val="364048"/>
                <w:sz w:val="18"/>
                <w:szCs w:val="18"/>
              </w:rPr>
              <w:t>Pozicija</w:t>
            </w:r>
          </w:p>
        </w:tc>
        <w:tc>
          <w:tcPr>
            <w:tcW w:w="7007" w:type="dxa"/>
            <w:tcBorders>
              <w:top w:val="nil"/>
              <w:left w:val="nil"/>
              <w:bottom w:val="single" w:sz="4" w:space="0" w:color="A0A0A0"/>
              <w:right w:val="single" w:sz="4" w:space="0" w:color="A0A0A0"/>
            </w:tcBorders>
            <w:shd w:val="clear" w:color="000000" w:fill="FFFFFF"/>
            <w:noWrap/>
            <w:hideMark/>
          </w:tcPr>
          <w:p w14:paraId="0553E863" w14:textId="77777777" w:rsidR="00063163" w:rsidRDefault="00063163">
            <w:pPr>
              <w:jc w:val="center"/>
              <w:rPr>
                <w:rFonts w:ascii="Calibri" w:hAnsi="Calibri" w:cs="Calibri"/>
                <w:color w:val="364048"/>
                <w:sz w:val="18"/>
                <w:szCs w:val="18"/>
              </w:rPr>
            </w:pPr>
            <w:r>
              <w:rPr>
                <w:rFonts w:ascii="Calibri" w:hAnsi="Calibri" w:cs="Calibri"/>
                <w:color w:val="364048"/>
                <w:sz w:val="18"/>
                <w:szCs w:val="18"/>
              </w:rPr>
              <w:t>Naziv pozicije</w:t>
            </w:r>
          </w:p>
        </w:tc>
        <w:tc>
          <w:tcPr>
            <w:tcW w:w="1320" w:type="dxa"/>
            <w:tcBorders>
              <w:top w:val="nil"/>
              <w:left w:val="nil"/>
              <w:bottom w:val="single" w:sz="4" w:space="0" w:color="A0A0A0"/>
              <w:right w:val="single" w:sz="4" w:space="0" w:color="A0A0A0"/>
            </w:tcBorders>
            <w:shd w:val="clear" w:color="000000" w:fill="FFFFFF"/>
            <w:noWrap/>
            <w:hideMark/>
          </w:tcPr>
          <w:p w14:paraId="7F06CEF7" w14:textId="77777777" w:rsidR="00063163" w:rsidRDefault="00063163">
            <w:pPr>
              <w:jc w:val="center"/>
              <w:rPr>
                <w:rFonts w:ascii="Calibri" w:hAnsi="Calibri" w:cs="Calibri"/>
                <w:color w:val="364048"/>
                <w:sz w:val="18"/>
                <w:szCs w:val="18"/>
              </w:rPr>
            </w:pPr>
            <w:r>
              <w:rPr>
                <w:rFonts w:ascii="Calibri" w:hAnsi="Calibri" w:cs="Calibri"/>
                <w:color w:val="364048"/>
                <w:sz w:val="18"/>
                <w:szCs w:val="18"/>
              </w:rPr>
              <w:t>Planirano</w:t>
            </w:r>
          </w:p>
        </w:tc>
      </w:tr>
      <w:tr w:rsidR="00063163" w14:paraId="326686E9"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E3E4E6"/>
            <w:noWrap/>
            <w:hideMark/>
          </w:tcPr>
          <w:p w14:paraId="5C0AC547"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10</w:t>
            </w:r>
          </w:p>
        </w:tc>
        <w:tc>
          <w:tcPr>
            <w:tcW w:w="7007" w:type="dxa"/>
            <w:tcBorders>
              <w:top w:val="nil"/>
              <w:left w:val="nil"/>
              <w:bottom w:val="single" w:sz="4" w:space="0" w:color="A0A0A0"/>
              <w:right w:val="single" w:sz="4" w:space="0" w:color="A0A0A0"/>
            </w:tcBorders>
            <w:shd w:val="clear" w:color="000000" w:fill="E3E4E6"/>
            <w:noWrap/>
            <w:hideMark/>
          </w:tcPr>
          <w:p w14:paraId="243F23FD" w14:textId="77777777" w:rsidR="00063163" w:rsidRDefault="00063163">
            <w:pPr>
              <w:rPr>
                <w:rFonts w:ascii="Calibri" w:hAnsi="Calibri" w:cs="Calibri"/>
                <w:color w:val="364049"/>
                <w:sz w:val="18"/>
                <w:szCs w:val="18"/>
              </w:rPr>
            </w:pPr>
            <w:r>
              <w:rPr>
                <w:rFonts w:ascii="Calibri" w:hAnsi="Calibri" w:cs="Calibri"/>
                <w:color w:val="364049"/>
                <w:sz w:val="18"/>
                <w:szCs w:val="18"/>
              </w:rPr>
              <w:t>RASHODI</w:t>
            </w:r>
          </w:p>
        </w:tc>
        <w:tc>
          <w:tcPr>
            <w:tcW w:w="1320" w:type="dxa"/>
            <w:tcBorders>
              <w:top w:val="nil"/>
              <w:left w:val="nil"/>
              <w:bottom w:val="single" w:sz="4" w:space="0" w:color="A0A0A0"/>
              <w:right w:val="single" w:sz="4" w:space="0" w:color="A0A0A0"/>
            </w:tcBorders>
            <w:shd w:val="clear" w:color="000000" w:fill="E3E4E6"/>
            <w:noWrap/>
            <w:hideMark/>
          </w:tcPr>
          <w:p w14:paraId="255469AB" w14:textId="77777777" w:rsidR="00063163" w:rsidRDefault="00063163">
            <w:pPr>
              <w:jc w:val="center"/>
              <w:rPr>
                <w:rFonts w:ascii="Calibri" w:hAnsi="Calibri" w:cs="Calibri"/>
                <w:color w:val="364049"/>
                <w:sz w:val="18"/>
                <w:szCs w:val="18"/>
              </w:rPr>
            </w:pPr>
            <w:r>
              <w:rPr>
                <w:rFonts w:ascii="Calibri" w:hAnsi="Calibri" w:cs="Calibri"/>
                <w:color w:val="364049"/>
                <w:sz w:val="18"/>
                <w:szCs w:val="18"/>
              </w:rPr>
              <w:t>0</w:t>
            </w:r>
          </w:p>
        </w:tc>
      </w:tr>
      <w:tr w:rsidR="00063163" w14:paraId="2A230216"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A9D08E"/>
            <w:noWrap/>
            <w:hideMark/>
          </w:tcPr>
          <w:p w14:paraId="22525E8E"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20</w:t>
            </w:r>
          </w:p>
        </w:tc>
        <w:tc>
          <w:tcPr>
            <w:tcW w:w="7007" w:type="dxa"/>
            <w:tcBorders>
              <w:top w:val="nil"/>
              <w:left w:val="nil"/>
              <w:bottom w:val="single" w:sz="4" w:space="0" w:color="A0A0A0"/>
              <w:right w:val="single" w:sz="4" w:space="0" w:color="A0A0A0"/>
            </w:tcBorders>
            <w:shd w:val="clear" w:color="000000" w:fill="A9D08E"/>
            <w:noWrap/>
            <w:hideMark/>
          </w:tcPr>
          <w:p w14:paraId="4D02331E" w14:textId="77777777" w:rsidR="00063163" w:rsidRDefault="00063163">
            <w:pPr>
              <w:rPr>
                <w:rFonts w:ascii="Calibri" w:hAnsi="Calibri" w:cs="Calibri"/>
                <w:color w:val="364049"/>
                <w:sz w:val="18"/>
                <w:szCs w:val="18"/>
              </w:rPr>
            </w:pPr>
            <w:r>
              <w:rPr>
                <w:rFonts w:ascii="Calibri" w:hAnsi="Calibri" w:cs="Calibri"/>
                <w:color w:val="364049"/>
                <w:sz w:val="18"/>
                <w:szCs w:val="18"/>
              </w:rPr>
              <w:t>1.          INVESTICIONA ULAGANJA I TEKUĆE ODRŽAVANJE</w:t>
            </w:r>
          </w:p>
        </w:tc>
        <w:tc>
          <w:tcPr>
            <w:tcW w:w="1320" w:type="dxa"/>
            <w:tcBorders>
              <w:top w:val="nil"/>
              <w:left w:val="nil"/>
              <w:bottom w:val="single" w:sz="4" w:space="0" w:color="A0A0A0"/>
              <w:right w:val="single" w:sz="4" w:space="0" w:color="A0A0A0"/>
            </w:tcBorders>
            <w:shd w:val="clear" w:color="000000" w:fill="A9D08E"/>
            <w:noWrap/>
            <w:hideMark/>
          </w:tcPr>
          <w:p w14:paraId="686FF551" w14:textId="4E0D86A4" w:rsidR="00063163" w:rsidRDefault="00063163">
            <w:pPr>
              <w:jc w:val="center"/>
              <w:rPr>
                <w:rFonts w:ascii="Calibri" w:hAnsi="Calibri" w:cs="Calibri"/>
                <w:color w:val="364049"/>
                <w:sz w:val="18"/>
                <w:szCs w:val="18"/>
              </w:rPr>
            </w:pPr>
            <w:r>
              <w:rPr>
                <w:rFonts w:ascii="Calibri" w:hAnsi="Calibri" w:cs="Calibri"/>
                <w:color w:val="364049"/>
                <w:sz w:val="18"/>
                <w:szCs w:val="18"/>
              </w:rPr>
              <w:t>108</w:t>
            </w:r>
            <w:r w:rsidR="00344D95">
              <w:rPr>
                <w:rFonts w:ascii="Calibri" w:hAnsi="Calibri" w:cs="Calibri"/>
                <w:color w:val="364049"/>
                <w:sz w:val="18"/>
                <w:szCs w:val="18"/>
              </w:rPr>
              <w:t>.</w:t>
            </w:r>
            <w:r>
              <w:rPr>
                <w:rFonts w:ascii="Calibri" w:hAnsi="Calibri" w:cs="Calibri"/>
                <w:color w:val="364049"/>
                <w:sz w:val="18"/>
                <w:szCs w:val="18"/>
              </w:rPr>
              <w:t>000</w:t>
            </w:r>
            <w:r w:rsidR="00344D95">
              <w:rPr>
                <w:rFonts w:ascii="Calibri" w:hAnsi="Calibri" w:cs="Calibri"/>
                <w:color w:val="364049"/>
                <w:sz w:val="18"/>
                <w:szCs w:val="18"/>
              </w:rPr>
              <w:t>,00</w:t>
            </w:r>
          </w:p>
        </w:tc>
      </w:tr>
      <w:tr w:rsidR="00063163" w14:paraId="37BE2808"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AEAAAA"/>
            <w:noWrap/>
            <w:hideMark/>
          </w:tcPr>
          <w:p w14:paraId="1C13E1C8"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30</w:t>
            </w:r>
          </w:p>
        </w:tc>
        <w:tc>
          <w:tcPr>
            <w:tcW w:w="7007" w:type="dxa"/>
            <w:tcBorders>
              <w:top w:val="nil"/>
              <w:left w:val="nil"/>
              <w:bottom w:val="single" w:sz="4" w:space="0" w:color="A0A0A0"/>
              <w:right w:val="single" w:sz="4" w:space="0" w:color="A0A0A0"/>
            </w:tcBorders>
            <w:shd w:val="clear" w:color="000000" w:fill="AEAAAA"/>
            <w:noWrap/>
            <w:hideMark/>
          </w:tcPr>
          <w:p w14:paraId="41C97CB0" w14:textId="77777777" w:rsidR="00063163" w:rsidRDefault="00063163">
            <w:pPr>
              <w:rPr>
                <w:rFonts w:ascii="Calibri" w:hAnsi="Calibri" w:cs="Calibri"/>
                <w:color w:val="364049"/>
                <w:sz w:val="18"/>
                <w:szCs w:val="18"/>
              </w:rPr>
            </w:pPr>
            <w:r>
              <w:rPr>
                <w:rFonts w:ascii="Calibri" w:hAnsi="Calibri" w:cs="Calibri"/>
                <w:color w:val="364049"/>
                <w:sz w:val="18"/>
                <w:szCs w:val="18"/>
              </w:rPr>
              <w:t>1.1.       Nabavka osnovnih sredstava</w:t>
            </w:r>
          </w:p>
        </w:tc>
        <w:tc>
          <w:tcPr>
            <w:tcW w:w="1320" w:type="dxa"/>
            <w:tcBorders>
              <w:top w:val="nil"/>
              <w:left w:val="nil"/>
              <w:bottom w:val="single" w:sz="4" w:space="0" w:color="A0A0A0"/>
              <w:right w:val="single" w:sz="4" w:space="0" w:color="A0A0A0"/>
            </w:tcBorders>
            <w:shd w:val="clear" w:color="000000" w:fill="AEAAAA"/>
            <w:noWrap/>
            <w:hideMark/>
          </w:tcPr>
          <w:p w14:paraId="69C14D44" w14:textId="5A34DC1B" w:rsidR="00063163" w:rsidRDefault="00063163">
            <w:pPr>
              <w:jc w:val="center"/>
              <w:rPr>
                <w:rFonts w:ascii="Calibri" w:hAnsi="Calibri" w:cs="Calibri"/>
                <w:color w:val="364049"/>
                <w:sz w:val="18"/>
                <w:szCs w:val="18"/>
              </w:rPr>
            </w:pPr>
            <w:r>
              <w:rPr>
                <w:rFonts w:ascii="Calibri" w:hAnsi="Calibri" w:cs="Calibri"/>
                <w:color w:val="364049"/>
                <w:sz w:val="18"/>
                <w:szCs w:val="18"/>
              </w:rPr>
              <w:t>103</w:t>
            </w:r>
            <w:r w:rsidR="00344D95">
              <w:rPr>
                <w:rFonts w:ascii="Calibri" w:hAnsi="Calibri" w:cs="Calibri"/>
                <w:color w:val="364049"/>
                <w:sz w:val="18"/>
                <w:szCs w:val="18"/>
              </w:rPr>
              <w:t>.</w:t>
            </w:r>
            <w:r>
              <w:rPr>
                <w:rFonts w:ascii="Calibri" w:hAnsi="Calibri" w:cs="Calibri"/>
                <w:color w:val="364049"/>
                <w:sz w:val="18"/>
                <w:szCs w:val="18"/>
              </w:rPr>
              <w:t>000</w:t>
            </w:r>
            <w:r w:rsidR="00344D95">
              <w:rPr>
                <w:rFonts w:ascii="Calibri" w:hAnsi="Calibri" w:cs="Calibri"/>
                <w:color w:val="364049"/>
                <w:sz w:val="18"/>
                <w:szCs w:val="18"/>
              </w:rPr>
              <w:t>,00</w:t>
            </w:r>
          </w:p>
        </w:tc>
      </w:tr>
      <w:tr w:rsidR="00063163" w14:paraId="70BBD4E0"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15129E30"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40</w:t>
            </w:r>
          </w:p>
        </w:tc>
        <w:tc>
          <w:tcPr>
            <w:tcW w:w="7007" w:type="dxa"/>
            <w:tcBorders>
              <w:top w:val="nil"/>
              <w:left w:val="nil"/>
              <w:bottom w:val="single" w:sz="4" w:space="0" w:color="A0A0A0"/>
              <w:right w:val="single" w:sz="4" w:space="0" w:color="A0A0A0"/>
            </w:tcBorders>
            <w:shd w:val="clear" w:color="000000" w:fill="FFFFFF"/>
            <w:noWrap/>
            <w:hideMark/>
          </w:tcPr>
          <w:p w14:paraId="064B64C4" w14:textId="77777777" w:rsidR="00063163" w:rsidRDefault="00063163">
            <w:pPr>
              <w:rPr>
                <w:rFonts w:ascii="Calibri" w:hAnsi="Calibri" w:cs="Calibri"/>
                <w:color w:val="364049"/>
                <w:sz w:val="18"/>
                <w:szCs w:val="18"/>
              </w:rPr>
            </w:pPr>
            <w:r>
              <w:rPr>
                <w:rFonts w:ascii="Calibri" w:hAnsi="Calibri" w:cs="Calibri"/>
                <w:color w:val="364049"/>
                <w:sz w:val="18"/>
                <w:szCs w:val="18"/>
              </w:rPr>
              <w:t>1.1.1.    Nabavka računarske opreme za nove zaposlene</w:t>
            </w:r>
          </w:p>
        </w:tc>
        <w:tc>
          <w:tcPr>
            <w:tcW w:w="1320" w:type="dxa"/>
            <w:tcBorders>
              <w:top w:val="nil"/>
              <w:left w:val="nil"/>
              <w:bottom w:val="single" w:sz="4" w:space="0" w:color="A0A0A0"/>
              <w:right w:val="single" w:sz="4" w:space="0" w:color="A0A0A0"/>
            </w:tcBorders>
            <w:shd w:val="clear" w:color="000000" w:fill="FFFFFF"/>
            <w:noWrap/>
            <w:hideMark/>
          </w:tcPr>
          <w:p w14:paraId="15657811" w14:textId="5C3CA114" w:rsidR="00063163" w:rsidRDefault="00063163">
            <w:pPr>
              <w:jc w:val="center"/>
              <w:rPr>
                <w:rFonts w:ascii="Calibri" w:hAnsi="Calibri" w:cs="Calibri"/>
                <w:color w:val="364049"/>
                <w:sz w:val="18"/>
                <w:szCs w:val="18"/>
              </w:rPr>
            </w:pPr>
            <w:r>
              <w:rPr>
                <w:rFonts w:ascii="Calibri" w:hAnsi="Calibri" w:cs="Calibri"/>
                <w:color w:val="364049"/>
                <w:sz w:val="18"/>
                <w:szCs w:val="18"/>
              </w:rPr>
              <w:t>10</w:t>
            </w:r>
            <w:r w:rsidR="00344D95">
              <w:rPr>
                <w:rFonts w:ascii="Calibri" w:hAnsi="Calibri" w:cs="Calibri"/>
                <w:color w:val="364049"/>
                <w:sz w:val="18"/>
                <w:szCs w:val="18"/>
              </w:rPr>
              <w:t>.</w:t>
            </w:r>
            <w:r>
              <w:rPr>
                <w:rFonts w:ascii="Calibri" w:hAnsi="Calibri" w:cs="Calibri"/>
                <w:color w:val="364049"/>
                <w:sz w:val="18"/>
                <w:szCs w:val="18"/>
              </w:rPr>
              <w:t>000</w:t>
            </w:r>
            <w:r w:rsidR="00344D95">
              <w:rPr>
                <w:rFonts w:ascii="Calibri" w:hAnsi="Calibri" w:cs="Calibri"/>
                <w:color w:val="364049"/>
                <w:sz w:val="18"/>
                <w:szCs w:val="18"/>
              </w:rPr>
              <w:t>,</w:t>
            </w:r>
            <w:r>
              <w:rPr>
                <w:rFonts w:ascii="Calibri" w:hAnsi="Calibri" w:cs="Calibri"/>
                <w:color w:val="364049"/>
                <w:sz w:val="18"/>
                <w:szCs w:val="18"/>
              </w:rPr>
              <w:t>00</w:t>
            </w:r>
          </w:p>
        </w:tc>
      </w:tr>
      <w:tr w:rsidR="00063163" w14:paraId="26DDB826"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70E2981F"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50</w:t>
            </w:r>
          </w:p>
        </w:tc>
        <w:tc>
          <w:tcPr>
            <w:tcW w:w="7007" w:type="dxa"/>
            <w:tcBorders>
              <w:top w:val="nil"/>
              <w:left w:val="nil"/>
              <w:bottom w:val="single" w:sz="4" w:space="0" w:color="A0A0A0"/>
              <w:right w:val="single" w:sz="4" w:space="0" w:color="A0A0A0"/>
            </w:tcBorders>
            <w:shd w:val="clear" w:color="000000" w:fill="FFFFFF"/>
            <w:noWrap/>
            <w:hideMark/>
          </w:tcPr>
          <w:p w14:paraId="3FF2DC1E" w14:textId="2070E8DF" w:rsidR="00063163" w:rsidRDefault="00063163">
            <w:pPr>
              <w:rPr>
                <w:rFonts w:ascii="Calibri" w:hAnsi="Calibri" w:cs="Calibri"/>
                <w:color w:val="364049"/>
                <w:sz w:val="18"/>
                <w:szCs w:val="18"/>
              </w:rPr>
            </w:pPr>
            <w:r>
              <w:rPr>
                <w:rFonts w:ascii="Calibri" w:hAnsi="Calibri" w:cs="Calibri"/>
                <w:color w:val="364049"/>
                <w:sz w:val="18"/>
                <w:szCs w:val="18"/>
              </w:rPr>
              <w:t>1.1.</w:t>
            </w:r>
            <w:r w:rsidR="005F51A2">
              <w:rPr>
                <w:rFonts w:ascii="Calibri" w:hAnsi="Calibri" w:cs="Calibri"/>
                <w:color w:val="364049"/>
                <w:sz w:val="18"/>
                <w:szCs w:val="18"/>
              </w:rPr>
              <w:t>2</w:t>
            </w:r>
            <w:r>
              <w:rPr>
                <w:rFonts w:ascii="Calibri" w:hAnsi="Calibri" w:cs="Calibri"/>
                <w:color w:val="364049"/>
                <w:sz w:val="18"/>
                <w:szCs w:val="18"/>
              </w:rPr>
              <w:t>.    Nabavka ostale opreme za zaposlene</w:t>
            </w:r>
          </w:p>
        </w:tc>
        <w:tc>
          <w:tcPr>
            <w:tcW w:w="1320" w:type="dxa"/>
            <w:tcBorders>
              <w:top w:val="nil"/>
              <w:left w:val="nil"/>
              <w:bottom w:val="single" w:sz="4" w:space="0" w:color="A0A0A0"/>
              <w:right w:val="single" w:sz="4" w:space="0" w:color="A0A0A0"/>
            </w:tcBorders>
            <w:shd w:val="clear" w:color="000000" w:fill="FFFFFF"/>
            <w:noWrap/>
            <w:hideMark/>
          </w:tcPr>
          <w:p w14:paraId="62F3324E" w14:textId="028736EF" w:rsidR="00063163" w:rsidRDefault="00063163">
            <w:pPr>
              <w:jc w:val="center"/>
              <w:rPr>
                <w:rFonts w:ascii="Calibri" w:hAnsi="Calibri" w:cs="Calibri"/>
                <w:color w:val="364049"/>
                <w:sz w:val="18"/>
                <w:szCs w:val="18"/>
              </w:rPr>
            </w:pPr>
            <w:r>
              <w:rPr>
                <w:rFonts w:ascii="Calibri" w:hAnsi="Calibri" w:cs="Calibri"/>
                <w:color w:val="364049"/>
                <w:sz w:val="18"/>
                <w:szCs w:val="18"/>
              </w:rPr>
              <w:t>5</w:t>
            </w:r>
            <w:r w:rsidR="00344D95">
              <w:rPr>
                <w:rFonts w:ascii="Calibri" w:hAnsi="Calibri" w:cs="Calibri"/>
                <w:color w:val="364049"/>
                <w:sz w:val="18"/>
                <w:szCs w:val="18"/>
              </w:rPr>
              <w:t>.</w:t>
            </w:r>
            <w:r>
              <w:rPr>
                <w:rFonts w:ascii="Calibri" w:hAnsi="Calibri" w:cs="Calibri"/>
                <w:color w:val="364049"/>
                <w:sz w:val="18"/>
                <w:szCs w:val="18"/>
              </w:rPr>
              <w:t>000</w:t>
            </w:r>
            <w:r w:rsidR="00344D95">
              <w:rPr>
                <w:rFonts w:ascii="Calibri" w:hAnsi="Calibri" w:cs="Calibri"/>
                <w:color w:val="364049"/>
                <w:sz w:val="18"/>
                <w:szCs w:val="18"/>
              </w:rPr>
              <w:t>,00</w:t>
            </w:r>
          </w:p>
        </w:tc>
      </w:tr>
      <w:tr w:rsidR="00063163" w14:paraId="423F18FE"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22EE4D2B"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60</w:t>
            </w:r>
          </w:p>
        </w:tc>
        <w:tc>
          <w:tcPr>
            <w:tcW w:w="7007" w:type="dxa"/>
            <w:tcBorders>
              <w:top w:val="nil"/>
              <w:left w:val="nil"/>
              <w:bottom w:val="single" w:sz="4" w:space="0" w:color="A0A0A0"/>
              <w:right w:val="single" w:sz="4" w:space="0" w:color="A0A0A0"/>
            </w:tcBorders>
            <w:shd w:val="clear" w:color="000000" w:fill="FFFFFF"/>
            <w:noWrap/>
            <w:hideMark/>
          </w:tcPr>
          <w:p w14:paraId="2B13296A" w14:textId="442AC291" w:rsidR="00063163" w:rsidRDefault="00063163">
            <w:pPr>
              <w:rPr>
                <w:rFonts w:ascii="Calibri" w:hAnsi="Calibri" w:cs="Calibri"/>
                <w:color w:val="364049"/>
                <w:sz w:val="18"/>
                <w:szCs w:val="18"/>
              </w:rPr>
            </w:pPr>
            <w:r>
              <w:rPr>
                <w:rFonts w:ascii="Calibri" w:hAnsi="Calibri" w:cs="Calibri"/>
                <w:color w:val="364049"/>
                <w:sz w:val="18"/>
                <w:szCs w:val="18"/>
              </w:rPr>
              <w:t>1.1.</w:t>
            </w:r>
            <w:r w:rsidR="005F51A2">
              <w:rPr>
                <w:rFonts w:ascii="Calibri" w:hAnsi="Calibri" w:cs="Calibri"/>
                <w:color w:val="364049"/>
                <w:sz w:val="18"/>
                <w:szCs w:val="18"/>
              </w:rPr>
              <w:t>3</w:t>
            </w:r>
            <w:r>
              <w:rPr>
                <w:rFonts w:ascii="Calibri" w:hAnsi="Calibri" w:cs="Calibri"/>
                <w:color w:val="364049"/>
                <w:sz w:val="18"/>
                <w:szCs w:val="18"/>
              </w:rPr>
              <w:t>.    Nabavka vozila</w:t>
            </w:r>
          </w:p>
        </w:tc>
        <w:tc>
          <w:tcPr>
            <w:tcW w:w="1320" w:type="dxa"/>
            <w:tcBorders>
              <w:top w:val="nil"/>
              <w:left w:val="nil"/>
              <w:bottom w:val="single" w:sz="4" w:space="0" w:color="A0A0A0"/>
              <w:right w:val="single" w:sz="4" w:space="0" w:color="A0A0A0"/>
            </w:tcBorders>
            <w:shd w:val="clear" w:color="000000" w:fill="FFFFFF"/>
            <w:noWrap/>
            <w:hideMark/>
          </w:tcPr>
          <w:p w14:paraId="1928833A" w14:textId="0094C463" w:rsidR="00063163" w:rsidRDefault="00063163">
            <w:pPr>
              <w:jc w:val="center"/>
              <w:rPr>
                <w:rFonts w:ascii="Calibri" w:hAnsi="Calibri" w:cs="Calibri"/>
                <w:color w:val="364049"/>
                <w:sz w:val="18"/>
                <w:szCs w:val="18"/>
              </w:rPr>
            </w:pPr>
            <w:r>
              <w:rPr>
                <w:rFonts w:ascii="Calibri" w:hAnsi="Calibri" w:cs="Calibri"/>
                <w:color w:val="364049"/>
                <w:sz w:val="18"/>
                <w:szCs w:val="18"/>
              </w:rPr>
              <w:t>50</w:t>
            </w:r>
            <w:r w:rsidR="00344D95">
              <w:rPr>
                <w:rFonts w:ascii="Calibri" w:hAnsi="Calibri" w:cs="Calibri"/>
                <w:color w:val="364049"/>
                <w:sz w:val="18"/>
                <w:szCs w:val="18"/>
              </w:rPr>
              <w:t>.</w:t>
            </w:r>
            <w:r>
              <w:rPr>
                <w:rFonts w:ascii="Calibri" w:hAnsi="Calibri" w:cs="Calibri"/>
                <w:color w:val="364049"/>
                <w:sz w:val="18"/>
                <w:szCs w:val="18"/>
              </w:rPr>
              <w:t>000</w:t>
            </w:r>
            <w:r w:rsidR="00344D95">
              <w:rPr>
                <w:rFonts w:ascii="Calibri" w:hAnsi="Calibri" w:cs="Calibri"/>
                <w:color w:val="364049"/>
                <w:sz w:val="18"/>
                <w:szCs w:val="18"/>
              </w:rPr>
              <w:t>,00</w:t>
            </w:r>
          </w:p>
        </w:tc>
      </w:tr>
      <w:tr w:rsidR="00063163" w14:paraId="115FA003"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09AEA8B6"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lastRenderedPageBreak/>
              <w:t>70</w:t>
            </w:r>
          </w:p>
        </w:tc>
        <w:tc>
          <w:tcPr>
            <w:tcW w:w="7007" w:type="dxa"/>
            <w:tcBorders>
              <w:top w:val="nil"/>
              <w:left w:val="nil"/>
              <w:bottom w:val="single" w:sz="4" w:space="0" w:color="A0A0A0"/>
              <w:right w:val="single" w:sz="4" w:space="0" w:color="A0A0A0"/>
            </w:tcBorders>
            <w:shd w:val="clear" w:color="000000" w:fill="FFFFFF"/>
            <w:noWrap/>
            <w:hideMark/>
          </w:tcPr>
          <w:p w14:paraId="0C8AF8D4" w14:textId="6DB6CCA6" w:rsidR="00063163" w:rsidRDefault="00063163">
            <w:pPr>
              <w:rPr>
                <w:rFonts w:ascii="Calibri" w:hAnsi="Calibri" w:cs="Calibri"/>
                <w:color w:val="364049"/>
                <w:sz w:val="18"/>
                <w:szCs w:val="18"/>
              </w:rPr>
            </w:pPr>
            <w:r>
              <w:rPr>
                <w:rFonts w:ascii="Calibri" w:hAnsi="Calibri" w:cs="Calibri"/>
                <w:color w:val="364049"/>
                <w:sz w:val="18"/>
                <w:szCs w:val="18"/>
              </w:rPr>
              <w:t>1.1.</w:t>
            </w:r>
            <w:r w:rsidR="005F51A2">
              <w:rPr>
                <w:rFonts w:ascii="Calibri" w:hAnsi="Calibri" w:cs="Calibri"/>
                <w:color w:val="364049"/>
                <w:sz w:val="18"/>
                <w:szCs w:val="18"/>
              </w:rPr>
              <w:t>4</w:t>
            </w:r>
            <w:r>
              <w:rPr>
                <w:rFonts w:ascii="Calibri" w:hAnsi="Calibri" w:cs="Calibri"/>
                <w:color w:val="364049"/>
                <w:sz w:val="18"/>
                <w:szCs w:val="18"/>
              </w:rPr>
              <w:t>.    Licence</w:t>
            </w:r>
          </w:p>
        </w:tc>
        <w:tc>
          <w:tcPr>
            <w:tcW w:w="1320" w:type="dxa"/>
            <w:tcBorders>
              <w:top w:val="nil"/>
              <w:left w:val="nil"/>
              <w:bottom w:val="single" w:sz="4" w:space="0" w:color="A0A0A0"/>
              <w:right w:val="single" w:sz="4" w:space="0" w:color="A0A0A0"/>
            </w:tcBorders>
            <w:shd w:val="clear" w:color="000000" w:fill="FFFFFF"/>
            <w:noWrap/>
            <w:hideMark/>
          </w:tcPr>
          <w:p w14:paraId="4A78A505" w14:textId="590D31B6" w:rsidR="00063163" w:rsidRDefault="00063163">
            <w:pPr>
              <w:jc w:val="center"/>
              <w:rPr>
                <w:rFonts w:ascii="Calibri" w:hAnsi="Calibri" w:cs="Calibri"/>
                <w:color w:val="364049"/>
                <w:sz w:val="18"/>
                <w:szCs w:val="18"/>
              </w:rPr>
            </w:pPr>
            <w:r>
              <w:rPr>
                <w:rFonts w:ascii="Calibri" w:hAnsi="Calibri" w:cs="Calibri"/>
                <w:color w:val="364049"/>
                <w:sz w:val="18"/>
                <w:szCs w:val="18"/>
              </w:rPr>
              <w:t>3</w:t>
            </w:r>
            <w:r w:rsidR="00FA0BDB">
              <w:rPr>
                <w:rFonts w:ascii="Calibri" w:hAnsi="Calibri" w:cs="Calibri"/>
                <w:color w:val="364049"/>
                <w:sz w:val="18"/>
                <w:szCs w:val="18"/>
              </w:rPr>
              <w:t>.</w:t>
            </w:r>
            <w:r>
              <w:rPr>
                <w:rFonts w:ascii="Calibri" w:hAnsi="Calibri" w:cs="Calibri"/>
                <w:color w:val="364049"/>
                <w:sz w:val="18"/>
                <w:szCs w:val="18"/>
              </w:rPr>
              <w:t>000</w:t>
            </w:r>
            <w:r w:rsidR="00FA0BDB">
              <w:rPr>
                <w:rFonts w:ascii="Calibri" w:hAnsi="Calibri" w:cs="Calibri"/>
                <w:color w:val="364049"/>
                <w:sz w:val="18"/>
                <w:szCs w:val="18"/>
              </w:rPr>
              <w:t>,00</w:t>
            </w:r>
          </w:p>
        </w:tc>
      </w:tr>
      <w:tr w:rsidR="00063163" w14:paraId="0A2DDE06"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1C8A5BD9"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80</w:t>
            </w:r>
          </w:p>
        </w:tc>
        <w:tc>
          <w:tcPr>
            <w:tcW w:w="7007" w:type="dxa"/>
            <w:tcBorders>
              <w:top w:val="nil"/>
              <w:left w:val="nil"/>
              <w:bottom w:val="single" w:sz="4" w:space="0" w:color="A0A0A0"/>
              <w:right w:val="single" w:sz="4" w:space="0" w:color="A0A0A0"/>
            </w:tcBorders>
            <w:shd w:val="clear" w:color="000000" w:fill="FFFFFF"/>
            <w:noWrap/>
            <w:hideMark/>
          </w:tcPr>
          <w:p w14:paraId="02F255A0" w14:textId="617ED8D7" w:rsidR="00063163" w:rsidRDefault="00063163">
            <w:pPr>
              <w:rPr>
                <w:rFonts w:ascii="Calibri" w:hAnsi="Calibri" w:cs="Calibri"/>
                <w:color w:val="364049"/>
                <w:sz w:val="18"/>
                <w:szCs w:val="18"/>
              </w:rPr>
            </w:pPr>
            <w:r>
              <w:rPr>
                <w:rFonts w:ascii="Calibri" w:hAnsi="Calibri" w:cs="Calibri"/>
                <w:color w:val="364049"/>
                <w:sz w:val="18"/>
                <w:szCs w:val="18"/>
              </w:rPr>
              <w:t>1.1.</w:t>
            </w:r>
            <w:r w:rsidR="005F51A2">
              <w:rPr>
                <w:rFonts w:ascii="Calibri" w:hAnsi="Calibri" w:cs="Calibri"/>
                <w:color w:val="364049"/>
                <w:sz w:val="18"/>
                <w:szCs w:val="18"/>
              </w:rPr>
              <w:t>5</w:t>
            </w:r>
            <w:r>
              <w:rPr>
                <w:rFonts w:ascii="Calibri" w:hAnsi="Calibri" w:cs="Calibri"/>
                <w:color w:val="364049"/>
                <w:sz w:val="18"/>
                <w:szCs w:val="18"/>
              </w:rPr>
              <w:t>.    Nabavka kancelarijske opreme</w:t>
            </w:r>
          </w:p>
        </w:tc>
        <w:tc>
          <w:tcPr>
            <w:tcW w:w="1320" w:type="dxa"/>
            <w:tcBorders>
              <w:top w:val="nil"/>
              <w:left w:val="nil"/>
              <w:bottom w:val="single" w:sz="4" w:space="0" w:color="A0A0A0"/>
              <w:right w:val="single" w:sz="4" w:space="0" w:color="A0A0A0"/>
            </w:tcBorders>
            <w:shd w:val="clear" w:color="000000" w:fill="FFFFFF"/>
            <w:noWrap/>
            <w:hideMark/>
          </w:tcPr>
          <w:p w14:paraId="25CB7AAC" w14:textId="79EAF8BB" w:rsidR="00063163" w:rsidRDefault="00063163">
            <w:pPr>
              <w:jc w:val="center"/>
              <w:rPr>
                <w:rFonts w:ascii="Calibri" w:hAnsi="Calibri" w:cs="Calibri"/>
                <w:color w:val="364049"/>
                <w:sz w:val="18"/>
                <w:szCs w:val="18"/>
              </w:rPr>
            </w:pPr>
            <w:r>
              <w:rPr>
                <w:rFonts w:ascii="Calibri" w:hAnsi="Calibri" w:cs="Calibri"/>
                <w:color w:val="364049"/>
                <w:sz w:val="18"/>
                <w:szCs w:val="18"/>
              </w:rPr>
              <w:t>35</w:t>
            </w:r>
            <w:r w:rsidR="00FA0BDB">
              <w:rPr>
                <w:rFonts w:ascii="Calibri" w:hAnsi="Calibri" w:cs="Calibri"/>
                <w:color w:val="364049"/>
                <w:sz w:val="18"/>
                <w:szCs w:val="18"/>
              </w:rPr>
              <w:t>.</w:t>
            </w:r>
            <w:r>
              <w:rPr>
                <w:rFonts w:ascii="Calibri" w:hAnsi="Calibri" w:cs="Calibri"/>
                <w:color w:val="364049"/>
                <w:sz w:val="18"/>
                <w:szCs w:val="18"/>
              </w:rPr>
              <w:t>000</w:t>
            </w:r>
            <w:r w:rsidR="00FA0BDB">
              <w:rPr>
                <w:rFonts w:ascii="Calibri" w:hAnsi="Calibri" w:cs="Calibri"/>
                <w:color w:val="364049"/>
                <w:sz w:val="18"/>
                <w:szCs w:val="18"/>
              </w:rPr>
              <w:t>,00</w:t>
            </w:r>
          </w:p>
        </w:tc>
      </w:tr>
      <w:tr w:rsidR="00063163" w14:paraId="1876BAB7"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AEAAAA"/>
            <w:noWrap/>
            <w:hideMark/>
          </w:tcPr>
          <w:p w14:paraId="1CAB45E1"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90</w:t>
            </w:r>
          </w:p>
        </w:tc>
        <w:tc>
          <w:tcPr>
            <w:tcW w:w="7007" w:type="dxa"/>
            <w:tcBorders>
              <w:top w:val="nil"/>
              <w:left w:val="nil"/>
              <w:bottom w:val="single" w:sz="4" w:space="0" w:color="A0A0A0"/>
              <w:right w:val="single" w:sz="4" w:space="0" w:color="A0A0A0"/>
            </w:tcBorders>
            <w:shd w:val="clear" w:color="000000" w:fill="AEAAAA"/>
            <w:noWrap/>
            <w:hideMark/>
          </w:tcPr>
          <w:p w14:paraId="71A476F7" w14:textId="77777777" w:rsidR="00063163" w:rsidRDefault="00063163">
            <w:pPr>
              <w:rPr>
                <w:rFonts w:ascii="Calibri" w:hAnsi="Calibri" w:cs="Calibri"/>
                <w:color w:val="364049"/>
                <w:sz w:val="18"/>
                <w:szCs w:val="18"/>
              </w:rPr>
            </w:pPr>
            <w:r>
              <w:rPr>
                <w:rFonts w:ascii="Calibri" w:hAnsi="Calibri" w:cs="Calibri"/>
                <w:color w:val="364049"/>
                <w:sz w:val="18"/>
                <w:szCs w:val="18"/>
              </w:rPr>
              <w:t>1.2.       Tekuće održavanje</w:t>
            </w:r>
          </w:p>
        </w:tc>
        <w:tc>
          <w:tcPr>
            <w:tcW w:w="1320" w:type="dxa"/>
            <w:tcBorders>
              <w:top w:val="nil"/>
              <w:left w:val="nil"/>
              <w:bottom w:val="single" w:sz="4" w:space="0" w:color="A0A0A0"/>
              <w:right w:val="single" w:sz="4" w:space="0" w:color="A0A0A0"/>
            </w:tcBorders>
            <w:shd w:val="clear" w:color="000000" w:fill="AEAAAA"/>
            <w:noWrap/>
            <w:hideMark/>
          </w:tcPr>
          <w:p w14:paraId="4D74E4B4" w14:textId="73F23E93" w:rsidR="00063163" w:rsidRDefault="00063163">
            <w:pPr>
              <w:jc w:val="center"/>
              <w:rPr>
                <w:rFonts w:ascii="Calibri" w:hAnsi="Calibri" w:cs="Calibri"/>
                <w:color w:val="364049"/>
                <w:sz w:val="18"/>
                <w:szCs w:val="18"/>
              </w:rPr>
            </w:pPr>
            <w:r>
              <w:rPr>
                <w:rFonts w:ascii="Calibri" w:hAnsi="Calibri" w:cs="Calibri"/>
                <w:color w:val="364049"/>
                <w:sz w:val="18"/>
                <w:szCs w:val="18"/>
              </w:rPr>
              <w:t>5</w:t>
            </w:r>
            <w:r w:rsidR="00344D95">
              <w:rPr>
                <w:rFonts w:ascii="Calibri" w:hAnsi="Calibri" w:cs="Calibri"/>
                <w:color w:val="364049"/>
                <w:sz w:val="18"/>
                <w:szCs w:val="18"/>
              </w:rPr>
              <w:t>.</w:t>
            </w:r>
            <w:r>
              <w:rPr>
                <w:rFonts w:ascii="Calibri" w:hAnsi="Calibri" w:cs="Calibri"/>
                <w:color w:val="364049"/>
                <w:sz w:val="18"/>
                <w:szCs w:val="18"/>
              </w:rPr>
              <w:t>000</w:t>
            </w:r>
            <w:r w:rsidR="00344D95">
              <w:rPr>
                <w:rFonts w:ascii="Calibri" w:hAnsi="Calibri" w:cs="Calibri"/>
                <w:color w:val="364049"/>
                <w:sz w:val="18"/>
                <w:szCs w:val="18"/>
              </w:rPr>
              <w:t>,00</w:t>
            </w:r>
          </w:p>
        </w:tc>
      </w:tr>
      <w:tr w:rsidR="00063163" w14:paraId="1EB64ECF"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1DE5B27C"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100</w:t>
            </w:r>
          </w:p>
        </w:tc>
        <w:tc>
          <w:tcPr>
            <w:tcW w:w="7007" w:type="dxa"/>
            <w:tcBorders>
              <w:top w:val="nil"/>
              <w:left w:val="nil"/>
              <w:bottom w:val="single" w:sz="4" w:space="0" w:color="A0A0A0"/>
              <w:right w:val="single" w:sz="4" w:space="0" w:color="A0A0A0"/>
            </w:tcBorders>
            <w:shd w:val="clear" w:color="000000" w:fill="FFFFFF"/>
            <w:noWrap/>
            <w:hideMark/>
          </w:tcPr>
          <w:p w14:paraId="0FFCF4C6" w14:textId="77777777" w:rsidR="00063163" w:rsidRDefault="00063163">
            <w:pPr>
              <w:rPr>
                <w:rFonts w:ascii="Calibri" w:hAnsi="Calibri" w:cs="Calibri"/>
                <w:color w:val="364049"/>
                <w:sz w:val="18"/>
                <w:szCs w:val="18"/>
              </w:rPr>
            </w:pPr>
            <w:r>
              <w:rPr>
                <w:rFonts w:ascii="Calibri" w:hAnsi="Calibri" w:cs="Calibri"/>
                <w:color w:val="364049"/>
                <w:sz w:val="18"/>
                <w:szCs w:val="18"/>
              </w:rPr>
              <w:t>1.2.1.    Tekuće održavanje tehničke opreme</w:t>
            </w:r>
          </w:p>
        </w:tc>
        <w:tc>
          <w:tcPr>
            <w:tcW w:w="1320" w:type="dxa"/>
            <w:tcBorders>
              <w:top w:val="nil"/>
              <w:left w:val="nil"/>
              <w:bottom w:val="single" w:sz="4" w:space="0" w:color="A0A0A0"/>
              <w:right w:val="single" w:sz="4" w:space="0" w:color="A0A0A0"/>
            </w:tcBorders>
            <w:shd w:val="clear" w:color="000000" w:fill="FFFFFF"/>
            <w:noWrap/>
            <w:hideMark/>
          </w:tcPr>
          <w:p w14:paraId="76470C78" w14:textId="5B2C4DAA" w:rsidR="00063163" w:rsidRDefault="00063163">
            <w:pPr>
              <w:jc w:val="center"/>
              <w:rPr>
                <w:rFonts w:ascii="Calibri" w:hAnsi="Calibri" w:cs="Calibri"/>
                <w:color w:val="364049"/>
                <w:sz w:val="18"/>
                <w:szCs w:val="18"/>
              </w:rPr>
            </w:pPr>
            <w:r>
              <w:rPr>
                <w:rFonts w:ascii="Calibri" w:hAnsi="Calibri" w:cs="Calibri"/>
                <w:color w:val="364049"/>
                <w:sz w:val="18"/>
                <w:szCs w:val="18"/>
              </w:rPr>
              <w:t>5</w:t>
            </w:r>
            <w:r w:rsidR="00344D95">
              <w:rPr>
                <w:rFonts w:ascii="Calibri" w:hAnsi="Calibri" w:cs="Calibri"/>
                <w:color w:val="364049"/>
                <w:sz w:val="18"/>
                <w:szCs w:val="18"/>
              </w:rPr>
              <w:t>.</w:t>
            </w:r>
            <w:r>
              <w:rPr>
                <w:rFonts w:ascii="Calibri" w:hAnsi="Calibri" w:cs="Calibri"/>
                <w:color w:val="364049"/>
                <w:sz w:val="18"/>
                <w:szCs w:val="18"/>
              </w:rPr>
              <w:t>000</w:t>
            </w:r>
            <w:r w:rsidR="00344D95">
              <w:rPr>
                <w:rFonts w:ascii="Calibri" w:hAnsi="Calibri" w:cs="Calibri"/>
                <w:color w:val="364049"/>
                <w:sz w:val="18"/>
                <w:szCs w:val="18"/>
              </w:rPr>
              <w:t>,00</w:t>
            </w:r>
          </w:p>
        </w:tc>
      </w:tr>
      <w:tr w:rsidR="00063163" w14:paraId="77EC6C2A"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A9D08E"/>
            <w:noWrap/>
            <w:hideMark/>
          </w:tcPr>
          <w:p w14:paraId="52FA0E60"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110</w:t>
            </w:r>
          </w:p>
        </w:tc>
        <w:tc>
          <w:tcPr>
            <w:tcW w:w="7007" w:type="dxa"/>
            <w:tcBorders>
              <w:top w:val="nil"/>
              <w:left w:val="nil"/>
              <w:bottom w:val="single" w:sz="4" w:space="0" w:color="A0A0A0"/>
              <w:right w:val="single" w:sz="4" w:space="0" w:color="A0A0A0"/>
            </w:tcBorders>
            <w:shd w:val="clear" w:color="000000" w:fill="A9D08E"/>
            <w:noWrap/>
            <w:hideMark/>
          </w:tcPr>
          <w:p w14:paraId="5E065509" w14:textId="77777777" w:rsidR="00063163" w:rsidRDefault="00063163">
            <w:pPr>
              <w:rPr>
                <w:rFonts w:ascii="Calibri" w:hAnsi="Calibri" w:cs="Calibri"/>
                <w:color w:val="364049"/>
                <w:sz w:val="18"/>
                <w:szCs w:val="18"/>
              </w:rPr>
            </w:pPr>
            <w:r>
              <w:rPr>
                <w:rFonts w:ascii="Calibri" w:hAnsi="Calibri" w:cs="Calibri"/>
                <w:color w:val="364049"/>
                <w:sz w:val="18"/>
                <w:szCs w:val="18"/>
              </w:rPr>
              <w:t>2           RASHODI TEKUĆEG POSLOVANJA</w:t>
            </w:r>
          </w:p>
        </w:tc>
        <w:tc>
          <w:tcPr>
            <w:tcW w:w="1320" w:type="dxa"/>
            <w:tcBorders>
              <w:top w:val="nil"/>
              <w:left w:val="nil"/>
              <w:bottom w:val="single" w:sz="4" w:space="0" w:color="A0A0A0"/>
              <w:right w:val="single" w:sz="4" w:space="0" w:color="A0A0A0"/>
            </w:tcBorders>
            <w:shd w:val="clear" w:color="000000" w:fill="A9D08E"/>
            <w:noWrap/>
            <w:hideMark/>
          </w:tcPr>
          <w:p w14:paraId="33F92425" w14:textId="693F3601" w:rsidR="00063163" w:rsidRDefault="00063163">
            <w:pPr>
              <w:jc w:val="center"/>
              <w:rPr>
                <w:rFonts w:ascii="Calibri" w:hAnsi="Calibri" w:cs="Calibri"/>
                <w:color w:val="364049"/>
                <w:sz w:val="18"/>
                <w:szCs w:val="18"/>
              </w:rPr>
            </w:pPr>
            <w:r>
              <w:rPr>
                <w:rFonts w:ascii="Calibri" w:hAnsi="Calibri" w:cs="Calibri"/>
                <w:color w:val="364049"/>
                <w:sz w:val="18"/>
                <w:szCs w:val="18"/>
              </w:rPr>
              <w:t>37</w:t>
            </w:r>
            <w:r w:rsidR="00344D95">
              <w:rPr>
                <w:rFonts w:ascii="Calibri" w:hAnsi="Calibri" w:cs="Calibri"/>
                <w:color w:val="364049"/>
                <w:sz w:val="18"/>
                <w:szCs w:val="18"/>
              </w:rPr>
              <w:t>.</w:t>
            </w:r>
            <w:r w:rsidR="00DF7469">
              <w:rPr>
                <w:rFonts w:ascii="Calibri" w:hAnsi="Calibri" w:cs="Calibri"/>
                <w:color w:val="364049"/>
                <w:sz w:val="18"/>
                <w:szCs w:val="18"/>
              </w:rPr>
              <w:t>448</w:t>
            </w:r>
            <w:r>
              <w:rPr>
                <w:rFonts w:ascii="Calibri" w:hAnsi="Calibri" w:cs="Calibri"/>
                <w:color w:val="364049"/>
                <w:sz w:val="18"/>
                <w:szCs w:val="18"/>
              </w:rPr>
              <w:t>,</w:t>
            </w:r>
            <w:r w:rsidR="00DF7469">
              <w:rPr>
                <w:rFonts w:ascii="Calibri" w:hAnsi="Calibri" w:cs="Calibri"/>
                <w:color w:val="364049"/>
                <w:sz w:val="18"/>
                <w:szCs w:val="18"/>
              </w:rPr>
              <w:t>60</w:t>
            </w:r>
            <w:r>
              <w:rPr>
                <w:rFonts w:ascii="Calibri" w:hAnsi="Calibri" w:cs="Calibri"/>
                <w:color w:val="364049"/>
                <w:sz w:val="18"/>
                <w:szCs w:val="18"/>
              </w:rPr>
              <w:t>8</w:t>
            </w:r>
          </w:p>
        </w:tc>
      </w:tr>
      <w:tr w:rsidR="00063163" w14:paraId="20827ACC"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AEAAAA"/>
            <w:noWrap/>
            <w:hideMark/>
          </w:tcPr>
          <w:p w14:paraId="43FE8776"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120</w:t>
            </w:r>
          </w:p>
        </w:tc>
        <w:tc>
          <w:tcPr>
            <w:tcW w:w="7007" w:type="dxa"/>
            <w:tcBorders>
              <w:top w:val="nil"/>
              <w:left w:val="nil"/>
              <w:bottom w:val="single" w:sz="4" w:space="0" w:color="A0A0A0"/>
              <w:right w:val="single" w:sz="4" w:space="0" w:color="A0A0A0"/>
            </w:tcBorders>
            <w:shd w:val="clear" w:color="000000" w:fill="AEAAAA"/>
            <w:noWrap/>
            <w:hideMark/>
          </w:tcPr>
          <w:p w14:paraId="169F8B9E" w14:textId="77777777" w:rsidR="00063163" w:rsidRDefault="00063163">
            <w:pPr>
              <w:rPr>
                <w:rFonts w:ascii="Calibri" w:hAnsi="Calibri" w:cs="Calibri"/>
                <w:color w:val="364049"/>
                <w:sz w:val="18"/>
                <w:szCs w:val="18"/>
              </w:rPr>
            </w:pPr>
            <w:r>
              <w:rPr>
                <w:rFonts w:ascii="Calibri" w:hAnsi="Calibri" w:cs="Calibri"/>
                <w:color w:val="364049"/>
                <w:sz w:val="18"/>
                <w:szCs w:val="18"/>
              </w:rPr>
              <w:t>2.1.       Troškovi materijala</w:t>
            </w:r>
          </w:p>
        </w:tc>
        <w:tc>
          <w:tcPr>
            <w:tcW w:w="1320" w:type="dxa"/>
            <w:tcBorders>
              <w:top w:val="nil"/>
              <w:left w:val="nil"/>
              <w:bottom w:val="single" w:sz="4" w:space="0" w:color="A0A0A0"/>
              <w:right w:val="single" w:sz="4" w:space="0" w:color="A0A0A0"/>
            </w:tcBorders>
            <w:shd w:val="clear" w:color="000000" w:fill="AEAAAA"/>
            <w:noWrap/>
            <w:hideMark/>
          </w:tcPr>
          <w:p w14:paraId="01BBE666" w14:textId="6EBADF8A" w:rsidR="00063163" w:rsidRDefault="00063163">
            <w:pPr>
              <w:jc w:val="center"/>
              <w:rPr>
                <w:rFonts w:ascii="Calibri" w:hAnsi="Calibri" w:cs="Calibri"/>
                <w:color w:val="364049"/>
                <w:sz w:val="18"/>
                <w:szCs w:val="18"/>
              </w:rPr>
            </w:pPr>
            <w:r>
              <w:rPr>
                <w:rFonts w:ascii="Calibri" w:hAnsi="Calibri" w:cs="Calibri"/>
                <w:color w:val="364049"/>
                <w:sz w:val="18"/>
                <w:szCs w:val="18"/>
              </w:rPr>
              <w:t>45</w:t>
            </w:r>
            <w:r w:rsidR="00344D95">
              <w:rPr>
                <w:rFonts w:ascii="Calibri" w:hAnsi="Calibri" w:cs="Calibri"/>
                <w:color w:val="364049"/>
                <w:sz w:val="18"/>
                <w:szCs w:val="18"/>
              </w:rPr>
              <w:t>.</w:t>
            </w:r>
            <w:r>
              <w:rPr>
                <w:rFonts w:ascii="Calibri" w:hAnsi="Calibri" w:cs="Calibri"/>
                <w:color w:val="364049"/>
                <w:sz w:val="18"/>
                <w:szCs w:val="18"/>
              </w:rPr>
              <w:t>000</w:t>
            </w:r>
            <w:r w:rsidR="00344D95">
              <w:rPr>
                <w:rFonts w:ascii="Calibri" w:hAnsi="Calibri" w:cs="Calibri"/>
                <w:color w:val="364049"/>
                <w:sz w:val="18"/>
                <w:szCs w:val="18"/>
              </w:rPr>
              <w:t>,00</w:t>
            </w:r>
          </w:p>
        </w:tc>
      </w:tr>
      <w:tr w:rsidR="00063163" w14:paraId="542470AC"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48ADB03D"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130</w:t>
            </w:r>
          </w:p>
        </w:tc>
        <w:tc>
          <w:tcPr>
            <w:tcW w:w="7007" w:type="dxa"/>
            <w:tcBorders>
              <w:top w:val="nil"/>
              <w:left w:val="nil"/>
              <w:bottom w:val="single" w:sz="4" w:space="0" w:color="A0A0A0"/>
              <w:right w:val="single" w:sz="4" w:space="0" w:color="A0A0A0"/>
            </w:tcBorders>
            <w:shd w:val="clear" w:color="000000" w:fill="FFFFFF"/>
            <w:noWrap/>
            <w:hideMark/>
          </w:tcPr>
          <w:p w14:paraId="4A4EF39E" w14:textId="77777777" w:rsidR="00063163" w:rsidRDefault="00063163">
            <w:pPr>
              <w:rPr>
                <w:rFonts w:ascii="Calibri" w:hAnsi="Calibri" w:cs="Calibri"/>
                <w:color w:val="364049"/>
                <w:sz w:val="18"/>
                <w:szCs w:val="18"/>
              </w:rPr>
            </w:pPr>
            <w:r>
              <w:rPr>
                <w:rFonts w:ascii="Calibri" w:hAnsi="Calibri" w:cs="Calibri"/>
                <w:color w:val="364049"/>
                <w:sz w:val="18"/>
                <w:szCs w:val="18"/>
              </w:rPr>
              <w:t>2.1.1.    Troškovi kancelarijskog materijala</w:t>
            </w:r>
          </w:p>
        </w:tc>
        <w:tc>
          <w:tcPr>
            <w:tcW w:w="1320" w:type="dxa"/>
            <w:tcBorders>
              <w:top w:val="nil"/>
              <w:left w:val="nil"/>
              <w:bottom w:val="single" w:sz="4" w:space="0" w:color="A0A0A0"/>
              <w:right w:val="single" w:sz="4" w:space="0" w:color="A0A0A0"/>
            </w:tcBorders>
            <w:shd w:val="clear" w:color="000000" w:fill="FFFFFF"/>
            <w:noWrap/>
            <w:hideMark/>
          </w:tcPr>
          <w:p w14:paraId="51E4DDF9" w14:textId="6E4E3C31" w:rsidR="00063163" w:rsidRDefault="00063163">
            <w:pPr>
              <w:jc w:val="center"/>
              <w:rPr>
                <w:rFonts w:ascii="Calibri" w:hAnsi="Calibri" w:cs="Calibri"/>
                <w:color w:val="364049"/>
                <w:sz w:val="18"/>
                <w:szCs w:val="18"/>
              </w:rPr>
            </w:pPr>
            <w:r>
              <w:rPr>
                <w:rFonts w:ascii="Calibri" w:hAnsi="Calibri" w:cs="Calibri"/>
                <w:color w:val="364049"/>
                <w:sz w:val="18"/>
                <w:szCs w:val="18"/>
              </w:rPr>
              <w:t>20</w:t>
            </w:r>
            <w:r w:rsidR="00344D95">
              <w:rPr>
                <w:rFonts w:ascii="Calibri" w:hAnsi="Calibri" w:cs="Calibri"/>
                <w:color w:val="364049"/>
                <w:sz w:val="18"/>
                <w:szCs w:val="18"/>
              </w:rPr>
              <w:t>.</w:t>
            </w:r>
            <w:r>
              <w:rPr>
                <w:rFonts w:ascii="Calibri" w:hAnsi="Calibri" w:cs="Calibri"/>
                <w:color w:val="364049"/>
                <w:sz w:val="18"/>
                <w:szCs w:val="18"/>
              </w:rPr>
              <w:t>000</w:t>
            </w:r>
            <w:r w:rsidR="00344D95">
              <w:rPr>
                <w:rFonts w:ascii="Calibri" w:hAnsi="Calibri" w:cs="Calibri"/>
                <w:color w:val="364049"/>
                <w:sz w:val="18"/>
                <w:szCs w:val="18"/>
              </w:rPr>
              <w:t>,00</w:t>
            </w:r>
          </w:p>
        </w:tc>
      </w:tr>
      <w:tr w:rsidR="00063163" w14:paraId="43FC91D4"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150360D0"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140</w:t>
            </w:r>
          </w:p>
        </w:tc>
        <w:tc>
          <w:tcPr>
            <w:tcW w:w="7007" w:type="dxa"/>
            <w:tcBorders>
              <w:top w:val="nil"/>
              <w:left w:val="nil"/>
              <w:bottom w:val="single" w:sz="4" w:space="0" w:color="A0A0A0"/>
              <w:right w:val="single" w:sz="4" w:space="0" w:color="A0A0A0"/>
            </w:tcBorders>
            <w:shd w:val="clear" w:color="000000" w:fill="FFFFFF"/>
            <w:noWrap/>
            <w:hideMark/>
          </w:tcPr>
          <w:p w14:paraId="3DA5B55F" w14:textId="77777777" w:rsidR="00063163" w:rsidRDefault="00063163">
            <w:pPr>
              <w:rPr>
                <w:rFonts w:ascii="Calibri" w:hAnsi="Calibri" w:cs="Calibri"/>
                <w:color w:val="364049"/>
                <w:sz w:val="18"/>
                <w:szCs w:val="18"/>
              </w:rPr>
            </w:pPr>
            <w:r>
              <w:rPr>
                <w:rFonts w:ascii="Calibri" w:hAnsi="Calibri" w:cs="Calibri"/>
                <w:color w:val="364049"/>
                <w:sz w:val="18"/>
                <w:szCs w:val="18"/>
              </w:rPr>
              <w:t>2.1.2.    Troškovi materijala za održavanje higijene</w:t>
            </w:r>
          </w:p>
        </w:tc>
        <w:tc>
          <w:tcPr>
            <w:tcW w:w="1320" w:type="dxa"/>
            <w:tcBorders>
              <w:top w:val="nil"/>
              <w:left w:val="nil"/>
              <w:bottom w:val="single" w:sz="4" w:space="0" w:color="A0A0A0"/>
              <w:right w:val="single" w:sz="4" w:space="0" w:color="A0A0A0"/>
            </w:tcBorders>
            <w:shd w:val="clear" w:color="000000" w:fill="FFFFFF"/>
            <w:noWrap/>
            <w:hideMark/>
          </w:tcPr>
          <w:p w14:paraId="192BE4FE" w14:textId="15E78EDF" w:rsidR="00063163" w:rsidRDefault="00063163">
            <w:pPr>
              <w:jc w:val="center"/>
              <w:rPr>
                <w:rFonts w:ascii="Calibri" w:hAnsi="Calibri" w:cs="Calibri"/>
                <w:color w:val="364049"/>
                <w:sz w:val="18"/>
                <w:szCs w:val="18"/>
              </w:rPr>
            </w:pPr>
            <w:r>
              <w:rPr>
                <w:rFonts w:ascii="Calibri" w:hAnsi="Calibri" w:cs="Calibri"/>
                <w:color w:val="364049"/>
                <w:sz w:val="18"/>
                <w:szCs w:val="18"/>
              </w:rPr>
              <w:t>5</w:t>
            </w:r>
            <w:r w:rsidR="00344D95">
              <w:rPr>
                <w:rFonts w:ascii="Calibri" w:hAnsi="Calibri" w:cs="Calibri"/>
                <w:color w:val="364049"/>
                <w:sz w:val="18"/>
                <w:szCs w:val="18"/>
              </w:rPr>
              <w:t>.</w:t>
            </w:r>
            <w:r>
              <w:rPr>
                <w:rFonts w:ascii="Calibri" w:hAnsi="Calibri" w:cs="Calibri"/>
                <w:color w:val="364049"/>
                <w:sz w:val="18"/>
                <w:szCs w:val="18"/>
              </w:rPr>
              <w:t>000</w:t>
            </w:r>
            <w:r w:rsidR="00344D95">
              <w:rPr>
                <w:rFonts w:ascii="Calibri" w:hAnsi="Calibri" w:cs="Calibri"/>
                <w:color w:val="364049"/>
                <w:sz w:val="18"/>
                <w:szCs w:val="18"/>
              </w:rPr>
              <w:t>,00</w:t>
            </w:r>
          </w:p>
        </w:tc>
      </w:tr>
      <w:tr w:rsidR="00063163" w14:paraId="0EF7FC4D"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4B735CA3"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150</w:t>
            </w:r>
          </w:p>
        </w:tc>
        <w:tc>
          <w:tcPr>
            <w:tcW w:w="7007" w:type="dxa"/>
            <w:tcBorders>
              <w:top w:val="nil"/>
              <w:left w:val="nil"/>
              <w:bottom w:val="single" w:sz="4" w:space="0" w:color="A0A0A0"/>
              <w:right w:val="single" w:sz="4" w:space="0" w:color="A0A0A0"/>
            </w:tcBorders>
            <w:shd w:val="clear" w:color="000000" w:fill="FFFFFF"/>
            <w:noWrap/>
            <w:hideMark/>
          </w:tcPr>
          <w:p w14:paraId="23B5C543" w14:textId="77777777" w:rsidR="00063163" w:rsidRDefault="00063163">
            <w:pPr>
              <w:rPr>
                <w:rFonts w:ascii="Calibri" w:hAnsi="Calibri" w:cs="Calibri"/>
                <w:color w:val="364049"/>
                <w:sz w:val="18"/>
                <w:szCs w:val="18"/>
              </w:rPr>
            </w:pPr>
            <w:r>
              <w:rPr>
                <w:rFonts w:ascii="Calibri" w:hAnsi="Calibri" w:cs="Calibri"/>
                <w:color w:val="364049"/>
                <w:sz w:val="18"/>
                <w:szCs w:val="18"/>
              </w:rPr>
              <w:t>2.1.3.    Troškovi goriva</w:t>
            </w:r>
          </w:p>
        </w:tc>
        <w:tc>
          <w:tcPr>
            <w:tcW w:w="1320" w:type="dxa"/>
            <w:tcBorders>
              <w:top w:val="nil"/>
              <w:left w:val="nil"/>
              <w:bottom w:val="single" w:sz="4" w:space="0" w:color="A0A0A0"/>
              <w:right w:val="single" w:sz="4" w:space="0" w:color="A0A0A0"/>
            </w:tcBorders>
            <w:shd w:val="clear" w:color="000000" w:fill="FFFFFF"/>
            <w:noWrap/>
            <w:hideMark/>
          </w:tcPr>
          <w:p w14:paraId="0F5D7256" w14:textId="6AF75E1D" w:rsidR="00063163" w:rsidRDefault="00063163">
            <w:pPr>
              <w:jc w:val="center"/>
              <w:rPr>
                <w:rFonts w:ascii="Calibri" w:hAnsi="Calibri" w:cs="Calibri"/>
                <w:color w:val="364049"/>
                <w:sz w:val="18"/>
                <w:szCs w:val="18"/>
              </w:rPr>
            </w:pPr>
            <w:r>
              <w:rPr>
                <w:rFonts w:ascii="Calibri" w:hAnsi="Calibri" w:cs="Calibri"/>
                <w:color w:val="364049"/>
                <w:sz w:val="18"/>
                <w:szCs w:val="18"/>
              </w:rPr>
              <w:t>10</w:t>
            </w:r>
            <w:r w:rsidR="00344D95">
              <w:rPr>
                <w:rFonts w:ascii="Calibri" w:hAnsi="Calibri" w:cs="Calibri"/>
                <w:color w:val="364049"/>
                <w:sz w:val="18"/>
                <w:szCs w:val="18"/>
              </w:rPr>
              <w:t>.</w:t>
            </w:r>
            <w:r>
              <w:rPr>
                <w:rFonts w:ascii="Calibri" w:hAnsi="Calibri" w:cs="Calibri"/>
                <w:color w:val="364049"/>
                <w:sz w:val="18"/>
                <w:szCs w:val="18"/>
              </w:rPr>
              <w:t>000</w:t>
            </w:r>
            <w:r w:rsidR="00344D95">
              <w:rPr>
                <w:rFonts w:ascii="Calibri" w:hAnsi="Calibri" w:cs="Calibri"/>
                <w:color w:val="364049"/>
                <w:sz w:val="18"/>
                <w:szCs w:val="18"/>
              </w:rPr>
              <w:t>,00</w:t>
            </w:r>
          </w:p>
        </w:tc>
      </w:tr>
      <w:tr w:rsidR="00063163" w14:paraId="4D054A25"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5A96CC25"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160</w:t>
            </w:r>
          </w:p>
        </w:tc>
        <w:tc>
          <w:tcPr>
            <w:tcW w:w="7007" w:type="dxa"/>
            <w:tcBorders>
              <w:top w:val="nil"/>
              <w:left w:val="nil"/>
              <w:bottom w:val="single" w:sz="4" w:space="0" w:color="A0A0A0"/>
              <w:right w:val="single" w:sz="4" w:space="0" w:color="A0A0A0"/>
            </w:tcBorders>
            <w:shd w:val="clear" w:color="000000" w:fill="FFFFFF"/>
            <w:noWrap/>
            <w:hideMark/>
          </w:tcPr>
          <w:p w14:paraId="66228DCB" w14:textId="77777777" w:rsidR="00063163" w:rsidRDefault="00063163">
            <w:pPr>
              <w:rPr>
                <w:rFonts w:ascii="Calibri" w:hAnsi="Calibri" w:cs="Calibri"/>
                <w:color w:val="364049"/>
                <w:sz w:val="18"/>
                <w:szCs w:val="18"/>
              </w:rPr>
            </w:pPr>
            <w:r>
              <w:rPr>
                <w:rFonts w:ascii="Calibri" w:hAnsi="Calibri" w:cs="Calibri"/>
                <w:color w:val="364049"/>
                <w:sz w:val="18"/>
                <w:szCs w:val="18"/>
              </w:rPr>
              <w:t>2.1.4.    Troškovi električne energije</w:t>
            </w:r>
          </w:p>
        </w:tc>
        <w:tc>
          <w:tcPr>
            <w:tcW w:w="1320" w:type="dxa"/>
            <w:tcBorders>
              <w:top w:val="nil"/>
              <w:left w:val="nil"/>
              <w:bottom w:val="single" w:sz="4" w:space="0" w:color="A0A0A0"/>
              <w:right w:val="single" w:sz="4" w:space="0" w:color="A0A0A0"/>
            </w:tcBorders>
            <w:shd w:val="clear" w:color="000000" w:fill="FFFFFF"/>
            <w:noWrap/>
            <w:hideMark/>
          </w:tcPr>
          <w:p w14:paraId="56A6833B" w14:textId="793756CC" w:rsidR="00063163" w:rsidRDefault="00063163">
            <w:pPr>
              <w:jc w:val="center"/>
              <w:rPr>
                <w:rFonts w:ascii="Calibri" w:hAnsi="Calibri" w:cs="Calibri"/>
                <w:color w:val="364049"/>
                <w:sz w:val="18"/>
                <w:szCs w:val="18"/>
              </w:rPr>
            </w:pPr>
            <w:r>
              <w:rPr>
                <w:rFonts w:ascii="Calibri" w:hAnsi="Calibri" w:cs="Calibri"/>
                <w:color w:val="364049"/>
                <w:sz w:val="18"/>
                <w:szCs w:val="18"/>
              </w:rPr>
              <w:t>5</w:t>
            </w:r>
            <w:r w:rsidR="00344D95">
              <w:rPr>
                <w:rFonts w:ascii="Calibri" w:hAnsi="Calibri" w:cs="Calibri"/>
                <w:color w:val="364049"/>
                <w:sz w:val="18"/>
                <w:szCs w:val="18"/>
              </w:rPr>
              <w:t>.</w:t>
            </w:r>
            <w:r>
              <w:rPr>
                <w:rFonts w:ascii="Calibri" w:hAnsi="Calibri" w:cs="Calibri"/>
                <w:color w:val="364049"/>
                <w:sz w:val="18"/>
                <w:szCs w:val="18"/>
              </w:rPr>
              <w:t>000</w:t>
            </w:r>
            <w:r w:rsidR="00344D95">
              <w:rPr>
                <w:rFonts w:ascii="Calibri" w:hAnsi="Calibri" w:cs="Calibri"/>
                <w:color w:val="364049"/>
                <w:sz w:val="18"/>
                <w:szCs w:val="18"/>
              </w:rPr>
              <w:t>,00</w:t>
            </w:r>
          </w:p>
        </w:tc>
      </w:tr>
      <w:tr w:rsidR="00063163" w14:paraId="032D8213"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5EFA53DE"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170</w:t>
            </w:r>
          </w:p>
        </w:tc>
        <w:tc>
          <w:tcPr>
            <w:tcW w:w="7007" w:type="dxa"/>
            <w:tcBorders>
              <w:top w:val="nil"/>
              <w:left w:val="nil"/>
              <w:bottom w:val="single" w:sz="4" w:space="0" w:color="A0A0A0"/>
              <w:right w:val="single" w:sz="4" w:space="0" w:color="A0A0A0"/>
            </w:tcBorders>
            <w:shd w:val="clear" w:color="000000" w:fill="FFFFFF"/>
            <w:noWrap/>
            <w:hideMark/>
          </w:tcPr>
          <w:p w14:paraId="4470511A" w14:textId="77777777" w:rsidR="00063163" w:rsidRDefault="00063163">
            <w:pPr>
              <w:rPr>
                <w:rFonts w:ascii="Calibri" w:hAnsi="Calibri" w:cs="Calibri"/>
                <w:color w:val="364049"/>
                <w:sz w:val="18"/>
                <w:szCs w:val="18"/>
              </w:rPr>
            </w:pPr>
            <w:r>
              <w:rPr>
                <w:rFonts w:ascii="Calibri" w:hAnsi="Calibri" w:cs="Calibri"/>
                <w:color w:val="364049"/>
                <w:sz w:val="18"/>
                <w:szCs w:val="18"/>
              </w:rPr>
              <w:t>2.1.5.    Ostali troškovi materijala</w:t>
            </w:r>
          </w:p>
        </w:tc>
        <w:tc>
          <w:tcPr>
            <w:tcW w:w="1320" w:type="dxa"/>
            <w:tcBorders>
              <w:top w:val="nil"/>
              <w:left w:val="nil"/>
              <w:bottom w:val="single" w:sz="4" w:space="0" w:color="A0A0A0"/>
              <w:right w:val="single" w:sz="4" w:space="0" w:color="A0A0A0"/>
            </w:tcBorders>
            <w:shd w:val="clear" w:color="000000" w:fill="FFFFFF"/>
            <w:noWrap/>
            <w:hideMark/>
          </w:tcPr>
          <w:p w14:paraId="23E42A0A" w14:textId="1EB25164" w:rsidR="00063163" w:rsidRDefault="00063163">
            <w:pPr>
              <w:jc w:val="center"/>
              <w:rPr>
                <w:rFonts w:ascii="Calibri" w:hAnsi="Calibri" w:cs="Calibri"/>
                <w:color w:val="364049"/>
                <w:sz w:val="18"/>
                <w:szCs w:val="18"/>
              </w:rPr>
            </w:pPr>
            <w:r>
              <w:rPr>
                <w:rFonts w:ascii="Calibri" w:hAnsi="Calibri" w:cs="Calibri"/>
                <w:color w:val="364049"/>
                <w:sz w:val="18"/>
                <w:szCs w:val="18"/>
              </w:rPr>
              <w:t>5</w:t>
            </w:r>
            <w:r w:rsidR="00344D95">
              <w:rPr>
                <w:rFonts w:ascii="Calibri" w:hAnsi="Calibri" w:cs="Calibri"/>
                <w:color w:val="364049"/>
                <w:sz w:val="18"/>
                <w:szCs w:val="18"/>
              </w:rPr>
              <w:t>.</w:t>
            </w:r>
            <w:r>
              <w:rPr>
                <w:rFonts w:ascii="Calibri" w:hAnsi="Calibri" w:cs="Calibri"/>
                <w:color w:val="364049"/>
                <w:sz w:val="18"/>
                <w:szCs w:val="18"/>
              </w:rPr>
              <w:t>000</w:t>
            </w:r>
            <w:r w:rsidR="00344D95">
              <w:rPr>
                <w:rFonts w:ascii="Calibri" w:hAnsi="Calibri" w:cs="Calibri"/>
                <w:color w:val="364049"/>
                <w:sz w:val="18"/>
                <w:szCs w:val="18"/>
              </w:rPr>
              <w:t>,00</w:t>
            </w:r>
          </w:p>
        </w:tc>
      </w:tr>
      <w:tr w:rsidR="00063163" w14:paraId="5232D5AD"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A6A6A6"/>
            <w:noWrap/>
            <w:hideMark/>
          </w:tcPr>
          <w:p w14:paraId="03E3CE79"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180</w:t>
            </w:r>
          </w:p>
        </w:tc>
        <w:tc>
          <w:tcPr>
            <w:tcW w:w="7007" w:type="dxa"/>
            <w:tcBorders>
              <w:top w:val="nil"/>
              <w:left w:val="nil"/>
              <w:bottom w:val="single" w:sz="4" w:space="0" w:color="A0A0A0"/>
              <w:right w:val="single" w:sz="4" w:space="0" w:color="A0A0A0"/>
            </w:tcBorders>
            <w:shd w:val="clear" w:color="000000" w:fill="AEAAAA"/>
            <w:noWrap/>
            <w:hideMark/>
          </w:tcPr>
          <w:p w14:paraId="5574BAF2" w14:textId="77777777" w:rsidR="00063163" w:rsidRDefault="00063163">
            <w:pPr>
              <w:rPr>
                <w:rFonts w:ascii="Calibri" w:hAnsi="Calibri" w:cs="Calibri"/>
                <w:color w:val="364049"/>
                <w:sz w:val="18"/>
                <w:szCs w:val="18"/>
              </w:rPr>
            </w:pPr>
            <w:r>
              <w:rPr>
                <w:rFonts w:ascii="Calibri" w:hAnsi="Calibri" w:cs="Calibri"/>
                <w:color w:val="364049"/>
                <w:sz w:val="18"/>
                <w:szCs w:val="18"/>
              </w:rPr>
              <w:t>2.2.       Troškovi zarada i naknada zarada</w:t>
            </w:r>
          </w:p>
        </w:tc>
        <w:tc>
          <w:tcPr>
            <w:tcW w:w="1320" w:type="dxa"/>
            <w:tcBorders>
              <w:top w:val="nil"/>
              <w:left w:val="nil"/>
              <w:bottom w:val="single" w:sz="4" w:space="0" w:color="A0A0A0"/>
              <w:right w:val="single" w:sz="4" w:space="0" w:color="A0A0A0"/>
            </w:tcBorders>
            <w:shd w:val="clear" w:color="000000" w:fill="AEAAAA"/>
            <w:noWrap/>
            <w:hideMark/>
          </w:tcPr>
          <w:p w14:paraId="7A34AF37" w14:textId="7B2C7052" w:rsidR="00063163" w:rsidRDefault="00063163">
            <w:pPr>
              <w:jc w:val="center"/>
              <w:rPr>
                <w:rFonts w:ascii="Calibri" w:hAnsi="Calibri" w:cs="Calibri"/>
                <w:color w:val="364049"/>
                <w:sz w:val="18"/>
                <w:szCs w:val="18"/>
              </w:rPr>
            </w:pPr>
            <w:r>
              <w:rPr>
                <w:rFonts w:ascii="Calibri" w:hAnsi="Calibri" w:cs="Calibri"/>
                <w:color w:val="364049"/>
                <w:sz w:val="18"/>
                <w:szCs w:val="18"/>
              </w:rPr>
              <w:t>670</w:t>
            </w:r>
            <w:r w:rsidR="00344D95">
              <w:rPr>
                <w:rFonts w:ascii="Calibri" w:hAnsi="Calibri" w:cs="Calibri"/>
                <w:color w:val="364049"/>
                <w:sz w:val="18"/>
                <w:szCs w:val="18"/>
              </w:rPr>
              <w:t>.</w:t>
            </w:r>
            <w:r>
              <w:rPr>
                <w:rFonts w:ascii="Calibri" w:hAnsi="Calibri" w:cs="Calibri"/>
                <w:color w:val="364049"/>
                <w:sz w:val="18"/>
                <w:szCs w:val="18"/>
              </w:rPr>
              <w:t>285</w:t>
            </w:r>
            <w:r w:rsidR="00344D95">
              <w:rPr>
                <w:rFonts w:ascii="Calibri" w:hAnsi="Calibri" w:cs="Calibri"/>
                <w:color w:val="364049"/>
                <w:sz w:val="18"/>
                <w:szCs w:val="18"/>
              </w:rPr>
              <w:t>,00</w:t>
            </w:r>
          </w:p>
        </w:tc>
      </w:tr>
      <w:tr w:rsidR="00063163" w14:paraId="6459E06A"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033C4211"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190</w:t>
            </w:r>
          </w:p>
        </w:tc>
        <w:tc>
          <w:tcPr>
            <w:tcW w:w="7007" w:type="dxa"/>
            <w:tcBorders>
              <w:top w:val="nil"/>
              <w:left w:val="nil"/>
              <w:bottom w:val="single" w:sz="4" w:space="0" w:color="A0A0A0"/>
              <w:right w:val="single" w:sz="4" w:space="0" w:color="A0A0A0"/>
            </w:tcBorders>
            <w:shd w:val="clear" w:color="000000" w:fill="FFFFFF"/>
            <w:noWrap/>
            <w:hideMark/>
          </w:tcPr>
          <w:p w14:paraId="39BF2F16" w14:textId="77777777" w:rsidR="00063163" w:rsidRDefault="00063163">
            <w:pPr>
              <w:rPr>
                <w:rFonts w:ascii="Calibri" w:hAnsi="Calibri" w:cs="Calibri"/>
                <w:color w:val="364049"/>
                <w:sz w:val="18"/>
                <w:szCs w:val="18"/>
              </w:rPr>
            </w:pPr>
            <w:r>
              <w:rPr>
                <w:rFonts w:ascii="Calibri" w:hAnsi="Calibri" w:cs="Calibri"/>
                <w:color w:val="364049"/>
                <w:sz w:val="18"/>
                <w:szCs w:val="18"/>
              </w:rPr>
              <w:t>2.2.1.    Troškovi neto zarada</w:t>
            </w:r>
          </w:p>
        </w:tc>
        <w:tc>
          <w:tcPr>
            <w:tcW w:w="1320" w:type="dxa"/>
            <w:tcBorders>
              <w:top w:val="nil"/>
              <w:left w:val="nil"/>
              <w:bottom w:val="single" w:sz="4" w:space="0" w:color="A0A0A0"/>
              <w:right w:val="single" w:sz="4" w:space="0" w:color="A0A0A0"/>
            </w:tcBorders>
            <w:shd w:val="clear" w:color="auto" w:fill="auto"/>
            <w:noWrap/>
            <w:hideMark/>
          </w:tcPr>
          <w:p w14:paraId="767E3F93" w14:textId="46B926DB" w:rsidR="00063163" w:rsidRDefault="00063163">
            <w:pPr>
              <w:jc w:val="center"/>
              <w:rPr>
                <w:rFonts w:ascii="Calibri" w:hAnsi="Calibri" w:cs="Calibri"/>
                <w:color w:val="364049"/>
                <w:sz w:val="18"/>
                <w:szCs w:val="18"/>
              </w:rPr>
            </w:pPr>
            <w:r>
              <w:rPr>
                <w:rFonts w:ascii="Calibri" w:hAnsi="Calibri" w:cs="Calibri"/>
                <w:color w:val="364049"/>
                <w:sz w:val="18"/>
                <w:szCs w:val="18"/>
              </w:rPr>
              <w:t>432</w:t>
            </w:r>
            <w:r w:rsidR="00344D95">
              <w:rPr>
                <w:rFonts w:ascii="Calibri" w:hAnsi="Calibri" w:cs="Calibri"/>
                <w:color w:val="364049"/>
                <w:sz w:val="18"/>
                <w:szCs w:val="18"/>
              </w:rPr>
              <w:t>.</w:t>
            </w:r>
            <w:r>
              <w:rPr>
                <w:rFonts w:ascii="Calibri" w:hAnsi="Calibri" w:cs="Calibri"/>
                <w:color w:val="364049"/>
                <w:sz w:val="18"/>
                <w:szCs w:val="18"/>
              </w:rPr>
              <w:t>000</w:t>
            </w:r>
            <w:r w:rsidR="00344D95">
              <w:rPr>
                <w:rFonts w:ascii="Calibri" w:hAnsi="Calibri" w:cs="Calibri"/>
                <w:color w:val="364049"/>
                <w:sz w:val="18"/>
                <w:szCs w:val="18"/>
              </w:rPr>
              <w:t>,00</w:t>
            </w:r>
          </w:p>
        </w:tc>
      </w:tr>
      <w:tr w:rsidR="00063163" w14:paraId="61DB1A55"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67031FA4"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200</w:t>
            </w:r>
          </w:p>
        </w:tc>
        <w:tc>
          <w:tcPr>
            <w:tcW w:w="7007" w:type="dxa"/>
            <w:tcBorders>
              <w:top w:val="nil"/>
              <w:left w:val="nil"/>
              <w:bottom w:val="single" w:sz="4" w:space="0" w:color="A0A0A0"/>
              <w:right w:val="single" w:sz="4" w:space="0" w:color="A0A0A0"/>
            </w:tcBorders>
            <w:shd w:val="clear" w:color="000000" w:fill="FFFFFF"/>
            <w:noWrap/>
            <w:hideMark/>
          </w:tcPr>
          <w:p w14:paraId="7DE1CE4F" w14:textId="77777777" w:rsidR="00063163" w:rsidRDefault="00063163">
            <w:pPr>
              <w:rPr>
                <w:rFonts w:ascii="Calibri" w:hAnsi="Calibri" w:cs="Calibri"/>
                <w:color w:val="364049"/>
                <w:sz w:val="18"/>
                <w:szCs w:val="18"/>
              </w:rPr>
            </w:pPr>
            <w:r>
              <w:rPr>
                <w:rFonts w:ascii="Calibri" w:hAnsi="Calibri" w:cs="Calibri"/>
                <w:color w:val="364049"/>
                <w:sz w:val="18"/>
                <w:szCs w:val="18"/>
              </w:rPr>
              <w:t>2.2.2.    Troškovi poreza i doprinosa na teret zaposlenog</w:t>
            </w:r>
          </w:p>
        </w:tc>
        <w:tc>
          <w:tcPr>
            <w:tcW w:w="1320" w:type="dxa"/>
            <w:tcBorders>
              <w:top w:val="nil"/>
              <w:left w:val="nil"/>
              <w:bottom w:val="single" w:sz="4" w:space="0" w:color="A0A0A0"/>
              <w:right w:val="single" w:sz="4" w:space="0" w:color="A0A0A0"/>
            </w:tcBorders>
            <w:shd w:val="clear" w:color="auto" w:fill="auto"/>
            <w:noWrap/>
            <w:hideMark/>
          </w:tcPr>
          <w:p w14:paraId="5AB4B6F1" w14:textId="32984D54" w:rsidR="00063163" w:rsidRDefault="00063163">
            <w:pPr>
              <w:jc w:val="center"/>
              <w:rPr>
                <w:rFonts w:ascii="Calibri" w:hAnsi="Calibri" w:cs="Calibri"/>
                <w:color w:val="364049"/>
                <w:sz w:val="18"/>
                <w:szCs w:val="18"/>
              </w:rPr>
            </w:pPr>
            <w:r>
              <w:rPr>
                <w:rFonts w:ascii="Calibri" w:hAnsi="Calibri" w:cs="Calibri"/>
                <w:color w:val="364049"/>
                <w:sz w:val="18"/>
                <w:szCs w:val="18"/>
              </w:rPr>
              <w:t>111</w:t>
            </w:r>
            <w:r w:rsidR="00344D95">
              <w:rPr>
                <w:rFonts w:ascii="Calibri" w:hAnsi="Calibri" w:cs="Calibri"/>
                <w:color w:val="364049"/>
                <w:sz w:val="18"/>
                <w:szCs w:val="18"/>
              </w:rPr>
              <w:t>.</w:t>
            </w:r>
            <w:r>
              <w:rPr>
                <w:rFonts w:ascii="Calibri" w:hAnsi="Calibri" w:cs="Calibri"/>
                <w:color w:val="364049"/>
                <w:sz w:val="18"/>
                <w:szCs w:val="18"/>
              </w:rPr>
              <w:t>500</w:t>
            </w:r>
            <w:r w:rsidR="00344D95">
              <w:rPr>
                <w:rFonts w:ascii="Calibri" w:hAnsi="Calibri" w:cs="Calibri"/>
                <w:color w:val="364049"/>
                <w:sz w:val="18"/>
                <w:szCs w:val="18"/>
              </w:rPr>
              <w:t>,00</w:t>
            </w:r>
          </w:p>
        </w:tc>
      </w:tr>
      <w:tr w:rsidR="00063163" w14:paraId="1DC387B2"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2D8E2677"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210</w:t>
            </w:r>
          </w:p>
        </w:tc>
        <w:tc>
          <w:tcPr>
            <w:tcW w:w="7007" w:type="dxa"/>
            <w:tcBorders>
              <w:top w:val="nil"/>
              <w:left w:val="nil"/>
              <w:bottom w:val="single" w:sz="4" w:space="0" w:color="A0A0A0"/>
              <w:right w:val="single" w:sz="4" w:space="0" w:color="A0A0A0"/>
            </w:tcBorders>
            <w:shd w:val="clear" w:color="000000" w:fill="FFFFFF"/>
            <w:noWrap/>
            <w:hideMark/>
          </w:tcPr>
          <w:p w14:paraId="4166792C" w14:textId="77777777" w:rsidR="00063163" w:rsidRDefault="00063163">
            <w:pPr>
              <w:rPr>
                <w:rFonts w:ascii="Calibri" w:hAnsi="Calibri" w:cs="Calibri"/>
                <w:color w:val="364049"/>
                <w:sz w:val="18"/>
                <w:szCs w:val="18"/>
              </w:rPr>
            </w:pPr>
            <w:r>
              <w:rPr>
                <w:rFonts w:ascii="Calibri" w:hAnsi="Calibri" w:cs="Calibri"/>
                <w:color w:val="364049"/>
                <w:sz w:val="18"/>
                <w:szCs w:val="18"/>
              </w:rPr>
              <w:t>2.2.3.    Troškovi doprinosa na teret poslodavca</w:t>
            </w:r>
          </w:p>
        </w:tc>
        <w:tc>
          <w:tcPr>
            <w:tcW w:w="1320" w:type="dxa"/>
            <w:tcBorders>
              <w:top w:val="nil"/>
              <w:left w:val="nil"/>
              <w:bottom w:val="single" w:sz="4" w:space="0" w:color="A0A0A0"/>
              <w:right w:val="single" w:sz="4" w:space="0" w:color="A0A0A0"/>
            </w:tcBorders>
            <w:shd w:val="clear" w:color="auto" w:fill="auto"/>
            <w:noWrap/>
            <w:hideMark/>
          </w:tcPr>
          <w:p w14:paraId="134373F0" w14:textId="724D3FC2" w:rsidR="00063163" w:rsidRDefault="00063163">
            <w:pPr>
              <w:jc w:val="center"/>
              <w:rPr>
                <w:rFonts w:ascii="Calibri" w:hAnsi="Calibri" w:cs="Calibri"/>
                <w:color w:val="364049"/>
                <w:sz w:val="18"/>
                <w:szCs w:val="18"/>
              </w:rPr>
            </w:pPr>
            <w:r>
              <w:rPr>
                <w:rFonts w:ascii="Calibri" w:hAnsi="Calibri" w:cs="Calibri"/>
                <w:color w:val="364049"/>
                <w:sz w:val="18"/>
                <w:szCs w:val="18"/>
              </w:rPr>
              <w:t>33</w:t>
            </w:r>
            <w:r w:rsidR="00344D95">
              <w:rPr>
                <w:rFonts w:ascii="Calibri" w:hAnsi="Calibri" w:cs="Calibri"/>
                <w:color w:val="364049"/>
                <w:sz w:val="18"/>
                <w:szCs w:val="18"/>
              </w:rPr>
              <w:t>.</w:t>
            </w:r>
            <w:r>
              <w:rPr>
                <w:rFonts w:ascii="Calibri" w:hAnsi="Calibri" w:cs="Calibri"/>
                <w:color w:val="364049"/>
                <w:sz w:val="18"/>
                <w:szCs w:val="18"/>
              </w:rPr>
              <w:t>785</w:t>
            </w:r>
            <w:r w:rsidR="00344D95">
              <w:rPr>
                <w:rFonts w:ascii="Calibri" w:hAnsi="Calibri" w:cs="Calibri"/>
                <w:color w:val="364049"/>
                <w:sz w:val="18"/>
                <w:szCs w:val="18"/>
              </w:rPr>
              <w:t>,00</w:t>
            </w:r>
          </w:p>
        </w:tc>
      </w:tr>
      <w:tr w:rsidR="00063163" w14:paraId="2699B6D8"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71397268"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220</w:t>
            </w:r>
          </w:p>
        </w:tc>
        <w:tc>
          <w:tcPr>
            <w:tcW w:w="7007" w:type="dxa"/>
            <w:tcBorders>
              <w:top w:val="nil"/>
              <w:left w:val="nil"/>
              <w:bottom w:val="single" w:sz="4" w:space="0" w:color="A0A0A0"/>
              <w:right w:val="single" w:sz="4" w:space="0" w:color="A0A0A0"/>
            </w:tcBorders>
            <w:shd w:val="clear" w:color="000000" w:fill="FFFFFF"/>
            <w:noWrap/>
            <w:hideMark/>
          </w:tcPr>
          <w:p w14:paraId="43E6E935" w14:textId="77777777" w:rsidR="00063163" w:rsidRDefault="00063163">
            <w:pPr>
              <w:rPr>
                <w:rFonts w:ascii="Calibri" w:hAnsi="Calibri" w:cs="Calibri"/>
                <w:color w:val="364049"/>
                <w:sz w:val="18"/>
                <w:szCs w:val="18"/>
              </w:rPr>
            </w:pPr>
            <w:r>
              <w:rPr>
                <w:rFonts w:ascii="Calibri" w:hAnsi="Calibri" w:cs="Calibri"/>
                <w:color w:val="364049"/>
                <w:sz w:val="18"/>
                <w:szCs w:val="18"/>
              </w:rPr>
              <w:t>2.2.4.    Troškovi naknada po ugovoru o djelu</w:t>
            </w:r>
          </w:p>
        </w:tc>
        <w:tc>
          <w:tcPr>
            <w:tcW w:w="1320" w:type="dxa"/>
            <w:tcBorders>
              <w:top w:val="nil"/>
              <w:left w:val="nil"/>
              <w:bottom w:val="single" w:sz="4" w:space="0" w:color="A0A0A0"/>
              <w:right w:val="single" w:sz="4" w:space="0" w:color="A0A0A0"/>
            </w:tcBorders>
            <w:shd w:val="clear" w:color="auto" w:fill="auto"/>
            <w:noWrap/>
            <w:hideMark/>
          </w:tcPr>
          <w:p w14:paraId="0C8D5F9D" w14:textId="01AFF168" w:rsidR="00063163" w:rsidRDefault="00063163">
            <w:pPr>
              <w:jc w:val="center"/>
              <w:rPr>
                <w:rFonts w:ascii="Calibri" w:hAnsi="Calibri" w:cs="Calibri"/>
                <w:color w:val="364049"/>
                <w:sz w:val="18"/>
                <w:szCs w:val="18"/>
              </w:rPr>
            </w:pPr>
            <w:r>
              <w:rPr>
                <w:rFonts w:ascii="Calibri" w:hAnsi="Calibri" w:cs="Calibri"/>
                <w:color w:val="364049"/>
                <w:sz w:val="18"/>
                <w:szCs w:val="18"/>
              </w:rPr>
              <w:t>40</w:t>
            </w:r>
            <w:r w:rsidR="00344D95">
              <w:rPr>
                <w:rFonts w:ascii="Calibri" w:hAnsi="Calibri" w:cs="Calibri"/>
                <w:color w:val="364049"/>
                <w:sz w:val="18"/>
                <w:szCs w:val="18"/>
              </w:rPr>
              <w:t>.</w:t>
            </w:r>
            <w:r>
              <w:rPr>
                <w:rFonts w:ascii="Calibri" w:hAnsi="Calibri" w:cs="Calibri"/>
                <w:color w:val="364049"/>
                <w:sz w:val="18"/>
                <w:szCs w:val="18"/>
              </w:rPr>
              <w:t>000</w:t>
            </w:r>
            <w:r w:rsidR="00344D95">
              <w:rPr>
                <w:rFonts w:ascii="Calibri" w:hAnsi="Calibri" w:cs="Calibri"/>
                <w:color w:val="364049"/>
                <w:sz w:val="18"/>
                <w:szCs w:val="18"/>
              </w:rPr>
              <w:t>,00</w:t>
            </w:r>
          </w:p>
        </w:tc>
      </w:tr>
      <w:tr w:rsidR="00063163" w14:paraId="6B0CDBCE"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720847C5"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230</w:t>
            </w:r>
          </w:p>
        </w:tc>
        <w:tc>
          <w:tcPr>
            <w:tcW w:w="7007" w:type="dxa"/>
            <w:tcBorders>
              <w:top w:val="nil"/>
              <w:left w:val="nil"/>
              <w:bottom w:val="single" w:sz="4" w:space="0" w:color="A0A0A0"/>
              <w:right w:val="single" w:sz="4" w:space="0" w:color="A0A0A0"/>
            </w:tcBorders>
            <w:shd w:val="clear" w:color="000000" w:fill="FFFFFF"/>
            <w:noWrap/>
            <w:hideMark/>
          </w:tcPr>
          <w:p w14:paraId="42B63F76" w14:textId="77777777" w:rsidR="00063163" w:rsidRDefault="00063163">
            <w:pPr>
              <w:rPr>
                <w:rFonts w:ascii="Calibri" w:hAnsi="Calibri" w:cs="Calibri"/>
                <w:color w:val="364049"/>
                <w:sz w:val="18"/>
                <w:szCs w:val="18"/>
              </w:rPr>
            </w:pPr>
            <w:r>
              <w:rPr>
                <w:rFonts w:ascii="Calibri" w:hAnsi="Calibri" w:cs="Calibri"/>
                <w:color w:val="364049"/>
                <w:sz w:val="18"/>
                <w:szCs w:val="18"/>
              </w:rPr>
              <w:t>2.2.5.    Troškovi naknada članovima odbora direktora</w:t>
            </w:r>
          </w:p>
        </w:tc>
        <w:tc>
          <w:tcPr>
            <w:tcW w:w="1320" w:type="dxa"/>
            <w:tcBorders>
              <w:top w:val="nil"/>
              <w:left w:val="nil"/>
              <w:bottom w:val="single" w:sz="4" w:space="0" w:color="A0A0A0"/>
              <w:right w:val="single" w:sz="4" w:space="0" w:color="A0A0A0"/>
            </w:tcBorders>
            <w:shd w:val="clear" w:color="auto" w:fill="auto"/>
            <w:noWrap/>
            <w:hideMark/>
          </w:tcPr>
          <w:p w14:paraId="64AD651C" w14:textId="24CDE240" w:rsidR="00063163" w:rsidRDefault="00063163">
            <w:pPr>
              <w:jc w:val="center"/>
              <w:rPr>
                <w:rFonts w:ascii="Calibri" w:hAnsi="Calibri" w:cs="Calibri"/>
                <w:color w:val="364049"/>
                <w:sz w:val="18"/>
                <w:szCs w:val="18"/>
              </w:rPr>
            </w:pPr>
            <w:r>
              <w:rPr>
                <w:rFonts w:ascii="Calibri" w:hAnsi="Calibri" w:cs="Calibri"/>
                <w:color w:val="364049"/>
                <w:sz w:val="18"/>
                <w:szCs w:val="18"/>
              </w:rPr>
              <w:t>25</w:t>
            </w:r>
            <w:r w:rsidR="00344D95">
              <w:rPr>
                <w:rFonts w:ascii="Calibri" w:hAnsi="Calibri" w:cs="Calibri"/>
                <w:color w:val="364049"/>
                <w:sz w:val="18"/>
                <w:szCs w:val="18"/>
              </w:rPr>
              <w:t>.</w:t>
            </w:r>
            <w:r>
              <w:rPr>
                <w:rFonts w:ascii="Calibri" w:hAnsi="Calibri" w:cs="Calibri"/>
                <w:color w:val="364049"/>
                <w:sz w:val="18"/>
                <w:szCs w:val="18"/>
              </w:rPr>
              <w:t>000</w:t>
            </w:r>
            <w:r w:rsidR="00344D95">
              <w:rPr>
                <w:rFonts w:ascii="Calibri" w:hAnsi="Calibri" w:cs="Calibri"/>
                <w:color w:val="364049"/>
                <w:sz w:val="18"/>
                <w:szCs w:val="18"/>
              </w:rPr>
              <w:t>,00</w:t>
            </w:r>
          </w:p>
        </w:tc>
      </w:tr>
      <w:tr w:rsidR="00063163" w14:paraId="222701B2"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6759589B"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240</w:t>
            </w:r>
          </w:p>
        </w:tc>
        <w:tc>
          <w:tcPr>
            <w:tcW w:w="7007" w:type="dxa"/>
            <w:tcBorders>
              <w:top w:val="nil"/>
              <w:left w:val="nil"/>
              <w:bottom w:val="single" w:sz="4" w:space="0" w:color="A0A0A0"/>
              <w:right w:val="single" w:sz="4" w:space="0" w:color="A0A0A0"/>
            </w:tcBorders>
            <w:shd w:val="clear" w:color="000000" w:fill="FFFFFF"/>
            <w:noWrap/>
            <w:hideMark/>
          </w:tcPr>
          <w:p w14:paraId="69A92C5D" w14:textId="77777777" w:rsidR="00063163" w:rsidRDefault="00063163">
            <w:pPr>
              <w:rPr>
                <w:rFonts w:ascii="Calibri" w:hAnsi="Calibri" w:cs="Calibri"/>
                <w:color w:val="364049"/>
                <w:sz w:val="18"/>
                <w:szCs w:val="18"/>
              </w:rPr>
            </w:pPr>
            <w:r>
              <w:rPr>
                <w:rFonts w:ascii="Calibri" w:hAnsi="Calibri" w:cs="Calibri"/>
                <w:color w:val="364049"/>
                <w:sz w:val="18"/>
                <w:szCs w:val="18"/>
              </w:rPr>
              <w:t>2.2.6.    Naknade troškova zaposlenima na službenom putu</w:t>
            </w:r>
          </w:p>
        </w:tc>
        <w:tc>
          <w:tcPr>
            <w:tcW w:w="1320" w:type="dxa"/>
            <w:tcBorders>
              <w:top w:val="nil"/>
              <w:left w:val="nil"/>
              <w:bottom w:val="single" w:sz="4" w:space="0" w:color="A0A0A0"/>
              <w:right w:val="single" w:sz="4" w:space="0" w:color="A0A0A0"/>
            </w:tcBorders>
            <w:shd w:val="clear" w:color="auto" w:fill="auto"/>
            <w:noWrap/>
            <w:hideMark/>
          </w:tcPr>
          <w:p w14:paraId="1A17E7DE" w14:textId="152623CE" w:rsidR="00063163" w:rsidRDefault="00063163">
            <w:pPr>
              <w:jc w:val="center"/>
              <w:rPr>
                <w:rFonts w:ascii="Calibri" w:hAnsi="Calibri" w:cs="Calibri"/>
                <w:color w:val="364049"/>
                <w:sz w:val="18"/>
                <w:szCs w:val="18"/>
              </w:rPr>
            </w:pPr>
            <w:r>
              <w:rPr>
                <w:rFonts w:ascii="Calibri" w:hAnsi="Calibri" w:cs="Calibri"/>
                <w:color w:val="364049"/>
                <w:sz w:val="18"/>
                <w:szCs w:val="18"/>
              </w:rPr>
              <w:t>23</w:t>
            </w:r>
            <w:r w:rsidR="00344D95">
              <w:rPr>
                <w:rFonts w:ascii="Calibri" w:hAnsi="Calibri" w:cs="Calibri"/>
                <w:color w:val="364049"/>
                <w:sz w:val="18"/>
                <w:szCs w:val="18"/>
              </w:rPr>
              <w:t>.</w:t>
            </w:r>
            <w:r>
              <w:rPr>
                <w:rFonts w:ascii="Calibri" w:hAnsi="Calibri" w:cs="Calibri"/>
                <w:color w:val="364049"/>
                <w:sz w:val="18"/>
                <w:szCs w:val="18"/>
              </w:rPr>
              <w:t>000</w:t>
            </w:r>
            <w:r w:rsidR="00344D95">
              <w:rPr>
                <w:rFonts w:ascii="Calibri" w:hAnsi="Calibri" w:cs="Calibri"/>
                <w:color w:val="364049"/>
                <w:sz w:val="18"/>
                <w:szCs w:val="18"/>
              </w:rPr>
              <w:t>,00</w:t>
            </w:r>
          </w:p>
        </w:tc>
      </w:tr>
      <w:tr w:rsidR="00063163" w14:paraId="2BCCDA60"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4D78DF88"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250</w:t>
            </w:r>
          </w:p>
        </w:tc>
        <w:tc>
          <w:tcPr>
            <w:tcW w:w="7007" w:type="dxa"/>
            <w:tcBorders>
              <w:top w:val="nil"/>
              <w:left w:val="nil"/>
              <w:bottom w:val="single" w:sz="4" w:space="0" w:color="A0A0A0"/>
              <w:right w:val="single" w:sz="4" w:space="0" w:color="A0A0A0"/>
            </w:tcBorders>
            <w:shd w:val="clear" w:color="000000" w:fill="FFFFFF"/>
            <w:noWrap/>
            <w:hideMark/>
          </w:tcPr>
          <w:p w14:paraId="31244464" w14:textId="77777777" w:rsidR="00063163" w:rsidRDefault="00063163">
            <w:pPr>
              <w:rPr>
                <w:rFonts w:ascii="Calibri" w:hAnsi="Calibri" w:cs="Calibri"/>
                <w:color w:val="364049"/>
                <w:sz w:val="18"/>
                <w:szCs w:val="18"/>
              </w:rPr>
            </w:pPr>
            <w:r>
              <w:rPr>
                <w:rFonts w:ascii="Calibri" w:hAnsi="Calibri" w:cs="Calibri"/>
                <w:color w:val="364049"/>
                <w:sz w:val="18"/>
                <w:szCs w:val="18"/>
              </w:rPr>
              <w:t>2.2.7.    Pomoći i ostale isplate zaposlenima po Kolektivnom Ugovoru</w:t>
            </w:r>
          </w:p>
        </w:tc>
        <w:tc>
          <w:tcPr>
            <w:tcW w:w="1320" w:type="dxa"/>
            <w:tcBorders>
              <w:top w:val="nil"/>
              <w:left w:val="nil"/>
              <w:bottom w:val="single" w:sz="4" w:space="0" w:color="A0A0A0"/>
              <w:right w:val="single" w:sz="4" w:space="0" w:color="A0A0A0"/>
            </w:tcBorders>
            <w:shd w:val="clear" w:color="auto" w:fill="auto"/>
            <w:noWrap/>
            <w:hideMark/>
          </w:tcPr>
          <w:p w14:paraId="57607DF4" w14:textId="5BD6FBFB" w:rsidR="00063163" w:rsidRDefault="00063163">
            <w:pPr>
              <w:jc w:val="center"/>
              <w:rPr>
                <w:rFonts w:ascii="Calibri" w:hAnsi="Calibri" w:cs="Calibri"/>
                <w:color w:val="364049"/>
                <w:sz w:val="18"/>
                <w:szCs w:val="18"/>
              </w:rPr>
            </w:pPr>
            <w:r>
              <w:rPr>
                <w:rFonts w:ascii="Calibri" w:hAnsi="Calibri" w:cs="Calibri"/>
                <w:color w:val="364049"/>
                <w:sz w:val="18"/>
                <w:szCs w:val="18"/>
              </w:rPr>
              <w:t>5</w:t>
            </w:r>
            <w:r w:rsidR="00344D95">
              <w:rPr>
                <w:rFonts w:ascii="Calibri" w:hAnsi="Calibri" w:cs="Calibri"/>
                <w:color w:val="364049"/>
                <w:sz w:val="18"/>
                <w:szCs w:val="18"/>
              </w:rPr>
              <w:t>.</w:t>
            </w:r>
            <w:r>
              <w:rPr>
                <w:rFonts w:ascii="Calibri" w:hAnsi="Calibri" w:cs="Calibri"/>
                <w:color w:val="364049"/>
                <w:sz w:val="18"/>
                <w:szCs w:val="18"/>
              </w:rPr>
              <w:t>000</w:t>
            </w:r>
            <w:r w:rsidR="00344D95">
              <w:rPr>
                <w:rFonts w:ascii="Calibri" w:hAnsi="Calibri" w:cs="Calibri"/>
                <w:color w:val="364049"/>
                <w:sz w:val="18"/>
                <w:szCs w:val="18"/>
              </w:rPr>
              <w:t>,00</w:t>
            </w:r>
          </w:p>
        </w:tc>
      </w:tr>
      <w:tr w:rsidR="00063163" w14:paraId="6253B8EF"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A6A6A6"/>
            <w:noWrap/>
            <w:hideMark/>
          </w:tcPr>
          <w:p w14:paraId="6CE25B74"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260</w:t>
            </w:r>
          </w:p>
        </w:tc>
        <w:tc>
          <w:tcPr>
            <w:tcW w:w="7007" w:type="dxa"/>
            <w:tcBorders>
              <w:top w:val="nil"/>
              <w:left w:val="nil"/>
              <w:bottom w:val="single" w:sz="4" w:space="0" w:color="A0A0A0"/>
              <w:right w:val="single" w:sz="4" w:space="0" w:color="A0A0A0"/>
            </w:tcBorders>
            <w:shd w:val="clear" w:color="000000" w:fill="AEAAAA"/>
            <w:noWrap/>
            <w:hideMark/>
          </w:tcPr>
          <w:p w14:paraId="42DB7564" w14:textId="77777777" w:rsidR="00063163" w:rsidRDefault="00063163">
            <w:pPr>
              <w:rPr>
                <w:rFonts w:ascii="Calibri" w:hAnsi="Calibri" w:cs="Calibri"/>
                <w:color w:val="364049"/>
                <w:sz w:val="18"/>
                <w:szCs w:val="18"/>
              </w:rPr>
            </w:pPr>
            <w:r>
              <w:rPr>
                <w:rFonts w:ascii="Calibri" w:hAnsi="Calibri" w:cs="Calibri"/>
                <w:color w:val="364049"/>
                <w:sz w:val="18"/>
                <w:szCs w:val="18"/>
              </w:rPr>
              <w:t>2.3.       Troškovi proizvodnih usluga</w:t>
            </w:r>
          </w:p>
        </w:tc>
        <w:tc>
          <w:tcPr>
            <w:tcW w:w="1320" w:type="dxa"/>
            <w:tcBorders>
              <w:top w:val="nil"/>
              <w:left w:val="nil"/>
              <w:bottom w:val="single" w:sz="4" w:space="0" w:color="A0A0A0"/>
              <w:right w:val="single" w:sz="4" w:space="0" w:color="A0A0A0"/>
            </w:tcBorders>
            <w:shd w:val="clear" w:color="000000" w:fill="AEAAAA"/>
            <w:noWrap/>
            <w:hideMark/>
          </w:tcPr>
          <w:p w14:paraId="783347BB" w14:textId="7A775CF4" w:rsidR="00063163" w:rsidRDefault="00063163">
            <w:pPr>
              <w:jc w:val="center"/>
              <w:rPr>
                <w:rFonts w:ascii="Calibri" w:hAnsi="Calibri" w:cs="Calibri"/>
                <w:color w:val="364049"/>
                <w:sz w:val="18"/>
                <w:szCs w:val="18"/>
              </w:rPr>
            </w:pPr>
            <w:r>
              <w:rPr>
                <w:rFonts w:ascii="Calibri" w:hAnsi="Calibri" w:cs="Calibri"/>
                <w:color w:val="364049"/>
                <w:sz w:val="18"/>
                <w:szCs w:val="18"/>
              </w:rPr>
              <w:t>36</w:t>
            </w:r>
            <w:r w:rsidR="00D3733F">
              <w:rPr>
                <w:rFonts w:ascii="Calibri" w:hAnsi="Calibri" w:cs="Calibri"/>
                <w:color w:val="364049"/>
                <w:sz w:val="18"/>
                <w:szCs w:val="18"/>
              </w:rPr>
              <w:t>.</w:t>
            </w:r>
            <w:r w:rsidR="00DF7469">
              <w:rPr>
                <w:rFonts w:ascii="Calibri" w:hAnsi="Calibri" w:cs="Calibri"/>
                <w:color w:val="364049"/>
                <w:sz w:val="18"/>
                <w:szCs w:val="18"/>
              </w:rPr>
              <w:t>523</w:t>
            </w:r>
            <w:r>
              <w:rPr>
                <w:rFonts w:ascii="Calibri" w:hAnsi="Calibri" w:cs="Calibri"/>
                <w:color w:val="364049"/>
                <w:sz w:val="18"/>
                <w:szCs w:val="18"/>
              </w:rPr>
              <w:t>,</w:t>
            </w:r>
            <w:r w:rsidR="00DF7469">
              <w:rPr>
                <w:rFonts w:ascii="Calibri" w:hAnsi="Calibri" w:cs="Calibri"/>
                <w:color w:val="364049"/>
                <w:sz w:val="18"/>
                <w:szCs w:val="18"/>
              </w:rPr>
              <w:t>32</w:t>
            </w:r>
            <w:r>
              <w:rPr>
                <w:rFonts w:ascii="Calibri" w:hAnsi="Calibri" w:cs="Calibri"/>
                <w:color w:val="364049"/>
                <w:sz w:val="18"/>
                <w:szCs w:val="18"/>
              </w:rPr>
              <w:t>3</w:t>
            </w:r>
          </w:p>
        </w:tc>
      </w:tr>
      <w:tr w:rsidR="00063163" w14:paraId="40D76517"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40EA8729"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270</w:t>
            </w:r>
          </w:p>
        </w:tc>
        <w:tc>
          <w:tcPr>
            <w:tcW w:w="7007" w:type="dxa"/>
            <w:tcBorders>
              <w:top w:val="nil"/>
              <w:left w:val="nil"/>
              <w:bottom w:val="single" w:sz="4" w:space="0" w:color="A0A0A0"/>
              <w:right w:val="single" w:sz="4" w:space="0" w:color="A0A0A0"/>
            </w:tcBorders>
            <w:shd w:val="clear" w:color="000000" w:fill="FFFFFF"/>
            <w:noWrap/>
            <w:hideMark/>
          </w:tcPr>
          <w:p w14:paraId="004FFDAD" w14:textId="77777777" w:rsidR="00063163" w:rsidRDefault="00063163">
            <w:pPr>
              <w:rPr>
                <w:rFonts w:ascii="Calibri" w:hAnsi="Calibri" w:cs="Calibri"/>
                <w:color w:val="364049"/>
                <w:sz w:val="18"/>
                <w:szCs w:val="18"/>
              </w:rPr>
            </w:pPr>
            <w:r>
              <w:rPr>
                <w:rFonts w:ascii="Calibri" w:hAnsi="Calibri" w:cs="Calibri"/>
                <w:color w:val="364049"/>
                <w:sz w:val="18"/>
                <w:szCs w:val="18"/>
              </w:rPr>
              <w:t>2.3.1.    Troškovi PTT usluga</w:t>
            </w:r>
          </w:p>
        </w:tc>
        <w:tc>
          <w:tcPr>
            <w:tcW w:w="1320" w:type="dxa"/>
            <w:tcBorders>
              <w:top w:val="nil"/>
              <w:left w:val="nil"/>
              <w:bottom w:val="single" w:sz="4" w:space="0" w:color="A0A0A0"/>
              <w:right w:val="single" w:sz="4" w:space="0" w:color="A0A0A0"/>
            </w:tcBorders>
            <w:shd w:val="clear" w:color="000000" w:fill="FFFFFF"/>
            <w:noWrap/>
            <w:hideMark/>
          </w:tcPr>
          <w:p w14:paraId="17C377CB" w14:textId="66321A52" w:rsidR="00063163" w:rsidRDefault="00063163">
            <w:pPr>
              <w:jc w:val="center"/>
              <w:rPr>
                <w:rFonts w:ascii="Calibri" w:hAnsi="Calibri" w:cs="Calibri"/>
                <w:color w:val="364049"/>
                <w:sz w:val="18"/>
                <w:szCs w:val="18"/>
              </w:rPr>
            </w:pPr>
            <w:r>
              <w:rPr>
                <w:rFonts w:ascii="Calibri" w:hAnsi="Calibri" w:cs="Calibri"/>
                <w:color w:val="364049"/>
                <w:sz w:val="18"/>
                <w:szCs w:val="18"/>
              </w:rPr>
              <w:t>20</w:t>
            </w:r>
            <w:r w:rsidR="00D3733F">
              <w:rPr>
                <w:rFonts w:ascii="Calibri" w:hAnsi="Calibri" w:cs="Calibri"/>
                <w:color w:val="364049"/>
                <w:sz w:val="18"/>
                <w:szCs w:val="18"/>
              </w:rPr>
              <w:t>.</w:t>
            </w:r>
            <w:r>
              <w:rPr>
                <w:rFonts w:ascii="Calibri" w:hAnsi="Calibri" w:cs="Calibri"/>
                <w:color w:val="364049"/>
                <w:sz w:val="18"/>
                <w:szCs w:val="18"/>
              </w:rPr>
              <w:t>000</w:t>
            </w:r>
            <w:r w:rsidR="00D3733F">
              <w:rPr>
                <w:rFonts w:ascii="Calibri" w:hAnsi="Calibri" w:cs="Calibri"/>
                <w:color w:val="364049"/>
                <w:sz w:val="18"/>
                <w:szCs w:val="18"/>
              </w:rPr>
              <w:t>,00</w:t>
            </w:r>
          </w:p>
        </w:tc>
      </w:tr>
      <w:tr w:rsidR="00063163" w14:paraId="26269018"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224DE9FF"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280</w:t>
            </w:r>
          </w:p>
        </w:tc>
        <w:tc>
          <w:tcPr>
            <w:tcW w:w="7007" w:type="dxa"/>
            <w:tcBorders>
              <w:top w:val="nil"/>
              <w:left w:val="nil"/>
              <w:bottom w:val="single" w:sz="4" w:space="0" w:color="A0A0A0"/>
              <w:right w:val="single" w:sz="4" w:space="0" w:color="A0A0A0"/>
            </w:tcBorders>
            <w:shd w:val="clear" w:color="000000" w:fill="FFFFFF"/>
            <w:noWrap/>
            <w:hideMark/>
          </w:tcPr>
          <w:p w14:paraId="2216A1FF" w14:textId="77777777" w:rsidR="00063163" w:rsidRDefault="00063163">
            <w:pPr>
              <w:rPr>
                <w:rFonts w:ascii="Calibri" w:hAnsi="Calibri" w:cs="Calibri"/>
                <w:color w:val="364049"/>
                <w:sz w:val="18"/>
                <w:szCs w:val="18"/>
              </w:rPr>
            </w:pPr>
            <w:r>
              <w:rPr>
                <w:rFonts w:ascii="Calibri" w:hAnsi="Calibri" w:cs="Calibri"/>
                <w:color w:val="364049"/>
                <w:sz w:val="18"/>
                <w:szCs w:val="18"/>
              </w:rPr>
              <w:t>2.3.2.    Troškovi za usluge održavanja nematerijalne imovine</w:t>
            </w:r>
          </w:p>
        </w:tc>
        <w:tc>
          <w:tcPr>
            <w:tcW w:w="1320" w:type="dxa"/>
            <w:tcBorders>
              <w:top w:val="nil"/>
              <w:left w:val="nil"/>
              <w:bottom w:val="single" w:sz="4" w:space="0" w:color="A0A0A0"/>
              <w:right w:val="single" w:sz="4" w:space="0" w:color="A0A0A0"/>
            </w:tcBorders>
            <w:shd w:val="clear" w:color="000000" w:fill="FFFFFF"/>
            <w:noWrap/>
            <w:hideMark/>
          </w:tcPr>
          <w:p w14:paraId="59517C9E" w14:textId="2C49FE51" w:rsidR="00063163" w:rsidRDefault="00063163">
            <w:pPr>
              <w:jc w:val="center"/>
              <w:rPr>
                <w:rFonts w:ascii="Calibri" w:hAnsi="Calibri" w:cs="Calibri"/>
                <w:color w:val="364049"/>
                <w:sz w:val="18"/>
                <w:szCs w:val="18"/>
              </w:rPr>
            </w:pPr>
            <w:r>
              <w:rPr>
                <w:rFonts w:ascii="Calibri" w:hAnsi="Calibri" w:cs="Calibri"/>
                <w:color w:val="364049"/>
                <w:sz w:val="18"/>
                <w:szCs w:val="18"/>
              </w:rPr>
              <w:t>2</w:t>
            </w:r>
            <w:r w:rsidR="00D3733F">
              <w:rPr>
                <w:rFonts w:ascii="Calibri" w:hAnsi="Calibri" w:cs="Calibri"/>
                <w:color w:val="364049"/>
                <w:sz w:val="18"/>
                <w:szCs w:val="18"/>
              </w:rPr>
              <w:t>.</w:t>
            </w:r>
            <w:r>
              <w:rPr>
                <w:rFonts w:ascii="Calibri" w:hAnsi="Calibri" w:cs="Calibri"/>
                <w:color w:val="364049"/>
                <w:sz w:val="18"/>
                <w:szCs w:val="18"/>
              </w:rPr>
              <w:t>500</w:t>
            </w:r>
            <w:r w:rsidR="00D3733F">
              <w:rPr>
                <w:rFonts w:ascii="Calibri" w:hAnsi="Calibri" w:cs="Calibri"/>
                <w:color w:val="364049"/>
                <w:sz w:val="18"/>
                <w:szCs w:val="18"/>
              </w:rPr>
              <w:t>,00</w:t>
            </w:r>
          </w:p>
        </w:tc>
      </w:tr>
      <w:tr w:rsidR="00063163" w14:paraId="72CCB8FF"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3072A244"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290</w:t>
            </w:r>
          </w:p>
        </w:tc>
        <w:tc>
          <w:tcPr>
            <w:tcW w:w="7007" w:type="dxa"/>
            <w:tcBorders>
              <w:top w:val="nil"/>
              <w:left w:val="nil"/>
              <w:bottom w:val="single" w:sz="4" w:space="0" w:color="A0A0A0"/>
              <w:right w:val="single" w:sz="4" w:space="0" w:color="A0A0A0"/>
            </w:tcBorders>
            <w:shd w:val="clear" w:color="000000" w:fill="FFFFFF"/>
            <w:noWrap/>
            <w:hideMark/>
          </w:tcPr>
          <w:p w14:paraId="38C7D15C" w14:textId="77777777" w:rsidR="00063163" w:rsidRDefault="00063163">
            <w:pPr>
              <w:rPr>
                <w:rFonts w:ascii="Calibri" w:hAnsi="Calibri" w:cs="Calibri"/>
                <w:color w:val="364049"/>
                <w:sz w:val="18"/>
                <w:szCs w:val="18"/>
              </w:rPr>
            </w:pPr>
            <w:r>
              <w:rPr>
                <w:rFonts w:ascii="Calibri" w:hAnsi="Calibri" w:cs="Calibri"/>
                <w:color w:val="364049"/>
                <w:sz w:val="18"/>
                <w:szCs w:val="18"/>
              </w:rPr>
              <w:t>2.3.3.   Troškovi za usluge održavanja opreme</w:t>
            </w:r>
          </w:p>
        </w:tc>
        <w:tc>
          <w:tcPr>
            <w:tcW w:w="1320" w:type="dxa"/>
            <w:tcBorders>
              <w:top w:val="nil"/>
              <w:left w:val="nil"/>
              <w:bottom w:val="single" w:sz="4" w:space="0" w:color="A0A0A0"/>
              <w:right w:val="single" w:sz="4" w:space="0" w:color="A0A0A0"/>
            </w:tcBorders>
            <w:shd w:val="clear" w:color="000000" w:fill="FFFFFF"/>
            <w:noWrap/>
            <w:hideMark/>
          </w:tcPr>
          <w:p w14:paraId="64B79B46" w14:textId="6E74CCD0" w:rsidR="00063163" w:rsidRDefault="00063163">
            <w:pPr>
              <w:jc w:val="center"/>
              <w:rPr>
                <w:rFonts w:ascii="Calibri" w:hAnsi="Calibri" w:cs="Calibri"/>
                <w:color w:val="364049"/>
                <w:sz w:val="18"/>
                <w:szCs w:val="18"/>
              </w:rPr>
            </w:pPr>
            <w:r>
              <w:rPr>
                <w:rFonts w:ascii="Calibri" w:hAnsi="Calibri" w:cs="Calibri"/>
                <w:color w:val="364049"/>
                <w:sz w:val="18"/>
                <w:szCs w:val="18"/>
              </w:rPr>
              <w:t>10</w:t>
            </w:r>
            <w:r w:rsidR="00D3733F">
              <w:rPr>
                <w:rFonts w:ascii="Calibri" w:hAnsi="Calibri" w:cs="Calibri"/>
                <w:color w:val="364049"/>
                <w:sz w:val="18"/>
                <w:szCs w:val="18"/>
              </w:rPr>
              <w:t>.</w:t>
            </w:r>
            <w:r>
              <w:rPr>
                <w:rFonts w:ascii="Calibri" w:hAnsi="Calibri" w:cs="Calibri"/>
                <w:color w:val="364049"/>
                <w:sz w:val="18"/>
                <w:szCs w:val="18"/>
              </w:rPr>
              <w:t>000</w:t>
            </w:r>
            <w:r w:rsidR="00D3733F">
              <w:rPr>
                <w:rFonts w:ascii="Calibri" w:hAnsi="Calibri" w:cs="Calibri"/>
                <w:color w:val="364049"/>
                <w:sz w:val="18"/>
                <w:szCs w:val="18"/>
              </w:rPr>
              <w:t>,00</w:t>
            </w:r>
          </w:p>
        </w:tc>
      </w:tr>
      <w:tr w:rsidR="00063163" w14:paraId="0C802248"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32E21668"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300</w:t>
            </w:r>
          </w:p>
        </w:tc>
        <w:tc>
          <w:tcPr>
            <w:tcW w:w="7007" w:type="dxa"/>
            <w:tcBorders>
              <w:top w:val="nil"/>
              <w:left w:val="nil"/>
              <w:bottom w:val="single" w:sz="4" w:space="0" w:color="A0A0A0"/>
              <w:right w:val="single" w:sz="4" w:space="0" w:color="A0A0A0"/>
            </w:tcBorders>
            <w:shd w:val="clear" w:color="000000" w:fill="FFFFFF"/>
            <w:noWrap/>
            <w:hideMark/>
          </w:tcPr>
          <w:p w14:paraId="268272B8" w14:textId="77777777" w:rsidR="00063163" w:rsidRDefault="00063163">
            <w:pPr>
              <w:rPr>
                <w:rFonts w:ascii="Calibri" w:hAnsi="Calibri" w:cs="Calibri"/>
                <w:color w:val="364049"/>
                <w:sz w:val="18"/>
                <w:szCs w:val="18"/>
              </w:rPr>
            </w:pPr>
            <w:r>
              <w:rPr>
                <w:rFonts w:ascii="Calibri" w:hAnsi="Calibri" w:cs="Calibri"/>
                <w:color w:val="364049"/>
                <w:sz w:val="18"/>
                <w:szCs w:val="18"/>
              </w:rPr>
              <w:t>2.3.4.   Troškovi zakupnina poslovnih prostorija</w:t>
            </w:r>
          </w:p>
        </w:tc>
        <w:tc>
          <w:tcPr>
            <w:tcW w:w="1320" w:type="dxa"/>
            <w:tcBorders>
              <w:top w:val="nil"/>
              <w:left w:val="nil"/>
              <w:bottom w:val="single" w:sz="4" w:space="0" w:color="A0A0A0"/>
              <w:right w:val="single" w:sz="4" w:space="0" w:color="A0A0A0"/>
            </w:tcBorders>
            <w:shd w:val="clear" w:color="000000" w:fill="FFFFFF"/>
            <w:noWrap/>
            <w:hideMark/>
          </w:tcPr>
          <w:p w14:paraId="7577B5A3" w14:textId="5CE414BF" w:rsidR="00063163" w:rsidRDefault="00063163">
            <w:pPr>
              <w:jc w:val="center"/>
              <w:rPr>
                <w:rFonts w:ascii="Calibri" w:hAnsi="Calibri" w:cs="Calibri"/>
                <w:color w:val="364049"/>
                <w:sz w:val="18"/>
                <w:szCs w:val="18"/>
              </w:rPr>
            </w:pPr>
            <w:r>
              <w:rPr>
                <w:rFonts w:ascii="Calibri" w:hAnsi="Calibri" w:cs="Calibri"/>
                <w:color w:val="364049"/>
                <w:sz w:val="18"/>
                <w:szCs w:val="18"/>
              </w:rPr>
              <w:t>45</w:t>
            </w:r>
            <w:r w:rsidR="00D3733F">
              <w:rPr>
                <w:rFonts w:ascii="Calibri" w:hAnsi="Calibri" w:cs="Calibri"/>
                <w:color w:val="364049"/>
                <w:sz w:val="18"/>
                <w:szCs w:val="18"/>
              </w:rPr>
              <w:t>.</w:t>
            </w:r>
            <w:r>
              <w:rPr>
                <w:rFonts w:ascii="Calibri" w:hAnsi="Calibri" w:cs="Calibri"/>
                <w:color w:val="364049"/>
                <w:sz w:val="18"/>
                <w:szCs w:val="18"/>
              </w:rPr>
              <w:t>000</w:t>
            </w:r>
            <w:r w:rsidR="00D3733F">
              <w:rPr>
                <w:rFonts w:ascii="Calibri" w:hAnsi="Calibri" w:cs="Calibri"/>
                <w:color w:val="364049"/>
                <w:sz w:val="18"/>
                <w:szCs w:val="18"/>
              </w:rPr>
              <w:t>,00</w:t>
            </w:r>
          </w:p>
        </w:tc>
      </w:tr>
      <w:tr w:rsidR="00063163" w14:paraId="440B477B"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2AAFE592"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310</w:t>
            </w:r>
          </w:p>
        </w:tc>
        <w:tc>
          <w:tcPr>
            <w:tcW w:w="7007" w:type="dxa"/>
            <w:tcBorders>
              <w:top w:val="nil"/>
              <w:left w:val="nil"/>
              <w:bottom w:val="single" w:sz="4" w:space="0" w:color="A0A0A0"/>
              <w:right w:val="single" w:sz="4" w:space="0" w:color="A0A0A0"/>
            </w:tcBorders>
            <w:shd w:val="clear" w:color="000000" w:fill="FFFFFF"/>
            <w:noWrap/>
            <w:hideMark/>
          </w:tcPr>
          <w:p w14:paraId="3906DB78" w14:textId="77777777" w:rsidR="00063163" w:rsidRDefault="00063163">
            <w:pPr>
              <w:rPr>
                <w:rFonts w:ascii="Calibri" w:hAnsi="Calibri" w:cs="Calibri"/>
                <w:color w:val="364049"/>
                <w:sz w:val="18"/>
                <w:szCs w:val="18"/>
              </w:rPr>
            </w:pPr>
            <w:r>
              <w:rPr>
                <w:rFonts w:ascii="Calibri" w:hAnsi="Calibri" w:cs="Calibri"/>
                <w:color w:val="364049"/>
                <w:sz w:val="18"/>
                <w:szCs w:val="18"/>
              </w:rPr>
              <w:t>2.3.5.   Troškovi marketinga</w:t>
            </w:r>
          </w:p>
        </w:tc>
        <w:tc>
          <w:tcPr>
            <w:tcW w:w="1320" w:type="dxa"/>
            <w:tcBorders>
              <w:top w:val="nil"/>
              <w:left w:val="nil"/>
              <w:bottom w:val="single" w:sz="4" w:space="0" w:color="A0A0A0"/>
              <w:right w:val="single" w:sz="4" w:space="0" w:color="A0A0A0"/>
            </w:tcBorders>
            <w:shd w:val="clear" w:color="000000" w:fill="FFFFFF"/>
            <w:noWrap/>
            <w:hideMark/>
          </w:tcPr>
          <w:p w14:paraId="571E64BB" w14:textId="69D96A6A" w:rsidR="00063163" w:rsidRDefault="00063163">
            <w:pPr>
              <w:jc w:val="center"/>
              <w:rPr>
                <w:rFonts w:ascii="Calibri" w:hAnsi="Calibri" w:cs="Calibri"/>
                <w:color w:val="364049"/>
                <w:sz w:val="18"/>
                <w:szCs w:val="18"/>
              </w:rPr>
            </w:pPr>
            <w:r>
              <w:rPr>
                <w:rFonts w:ascii="Calibri" w:hAnsi="Calibri" w:cs="Calibri"/>
                <w:color w:val="364049"/>
                <w:sz w:val="18"/>
                <w:szCs w:val="18"/>
              </w:rPr>
              <w:t>30,000</w:t>
            </w:r>
            <w:r w:rsidR="00D3733F">
              <w:rPr>
                <w:rFonts w:ascii="Calibri" w:hAnsi="Calibri" w:cs="Calibri"/>
                <w:color w:val="364049"/>
                <w:sz w:val="18"/>
                <w:szCs w:val="18"/>
              </w:rPr>
              <w:t>,00</w:t>
            </w:r>
          </w:p>
        </w:tc>
      </w:tr>
      <w:tr w:rsidR="00063163" w14:paraId="6A4B7F64"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7FC20296"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320</w:t>
            </w:r>
          </w:p>
        </w:tc>
        <w:tc>
          <w:tcPr>
            <w:tcW w:w="7007" w:type="dxa"/>
            <w:tcBorders>
              <w:top w:val="nil"/>
              <w:left w:val="nil"/>
              <w:bottom w:val="single" w:sz="4" w:space="0" w:color="A0A0A0"/>
              <w:right w:val="single" w:sz="4" w:space="0" w:color="A0A0A0"/>
            </w:tcBorders>
            <w:shd w:val="clear" w:color="000000" w:fill="FFFFFF"/>
            <w:noWrap/>
            <w:hideMark/>
          </w:tcPr>
          <w:p w14:paraId="50EA2A94" w14:textId="77777777" w:rsidR="00063163" w:rsidRDefault="00063163">
            <w:pPr>
              <w:rPr>
                <w:rFonts w:ascii="Calibri" w:hAnsi="Calibri" w:cs="Calibri"/>
                <w:color w:val="364049"/>
                <w:sz w:val="18"/>
                <w:szCs w:val="18"/>
              </w:rPr>
            </w:pPr>
            <w:r>
              <w:rPr>
                <w:rFonts w:ascii="Calibri" w:hAnsi="Calibri" w:cs="Calibri"/>
                <w:color w:val="364049"/>
                <w:sz w:val="18"/>
                <w:szCs w:val="18"/>
              </w:rPr>
              <w:t>2.3.6.   Rashodi za realizaciju projekata</w:t>
            </w:r>
          </w:p>
        </w:tc>
        <w:tc>
          <w:tcPr>
            <w:tcW w:w="1320" w:type="dxa"/>
            <w:tcBorders>
              <w:top w:val="nil"/>
              <w:left w:val="nil"/>
              <w:bottom w:val="single" w:sz="4" w:space="0" w:color="A0A0A0"/>
              <w:right w:val="single" w:sz="4" w:space="0" w:color="A0A0A0"/>
            </w:tcBorders>
            <w:shd w:val="clear" w:color="000000" w:fill="FFFFFF"/>
            <w:noWrap/>
            <w:hideMark/>
          </w:tcPr>
          <w:p w14:paraId="427053CC" w14:textId="6F42F8AA" w:rsidR="00063163" w:rsidRDefault="00063163">
            <w:pPr>
              <w:jc w:val="center"/>
              <w:rPr>
                <w:rFonts w:ascii="Calibri" w:hAnsi="Calibri" w:cs="Calibri"/>
                <w:color w:val="364049"/>
                <w:sz w:val="18"/>
                <w:szCs w:val="18"/>
              </w:rPr>
            </w:pPr>
            <w:r>
              <w:rPr>
                <w:rFonts w:ascii="Calibri" w:hAnsi="Calibri" w:cs="Calibri"/>
                <w:color w:val="364049"/>
                <w:sz w:val="18"/>
                <w:szCs w:val="18"/>
              </w:rPr>
              <w:t>36</w:t>
            </w:r>
            <w:r w:rsidR="00D3733F">
              <w:rPr>
                <w:rFonts w:ascii="Calibri" w:hAnsi="Calibri" w:cs="Calibri"/>
                <w:color w:val="364049"/>
                <w:sz w:val="18"/>
                <w:szCs w:val="18"/>
              </w:rPr>
              <w:t>.</w:t>
            </w:r>
            <w:r w:rsidR="00DF7469">
              <w:rPr>
                <w:rFonts w:ascii="Calibri" w:hAnsi="Calibri" w:cs="Calibri"/>
                <w:color w:val="364049"/>
                <w:sz w:val="18"/>
                <w:szCs w:val="18"/>
              </w:rPr>
              <w:t>415</w:t>
            </w:r>
            <w:r>
              <w:rPr>
                <w:rFonts w:ascii="Calibri" w:hAnsi="Calibri" w:cs="Calibri"/>
                <w:color w:val="364049"/>
                <w:sz w:val="18"/>
                <w:szCs w:val="18"/>
              </w:rPr>
              <w:t>,</w:t>
            </w:r>
            <w:r w:rsidR="00DF7469">
              <w:rPr>
                <w:rFonts w:ascii="Calibri" w:hAnsi="Calibri" w:cs="Calibri"/>
                <w:color w:val="364049"/>
                <w:sz w:val="18"/>
                <w:szCs w:val="18"/>
              </w:rPr>
              <w:t>823</w:t>
            </w:r>
          </w:p>
        </w:tc>
      </w:tr>
      <w:tr w:rsidR="00063163" w14:paraId="2E0B78C7"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A6A6A6"/>
            <w:noWrap/>
            <w:hideMark/>
          </w:tcPr>
          <w:p w14:paraId="6D6307B3"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330</w:t>
            </w:r>
          </w:p>
        </w:tc>
        <w:tc>
          <w:tcPr>
            <w:tcW w:w="7007" w:type="dxa"/>
            <w:tcBorders>
              <w:top w:val="nil"/>
              <w:left w:val="nil"/>
              <w:bottom w:val="single" w:sz="4" w:space="0" w:color="A0A0A0"/>
              <w:right w:val="single" w:sz="4" w:space="0" w:color="A0A0A0"/>
            </w:tcBorders>
            <w:shd w:val="clear" w:color="000000" w:fill="AEAAAA"/>
            <w:noWrap/>
            <w:hideMark/>
          </w:tcPr>
          <w:p w14:paraId="0B2B5F35" w14:textId="77777777" w:rsidR="00063163" w:rsidRDefault="00063163">
            <w:pPr>
              <w:rPr>
                <w:rFonts w:ascii="Calibri" w:hAnsi="Calibri" w:cs="Calibri"/>
                <w:color w:val="364049"/>
                <w:sz w:val="18"/>
                <w:szCs w:val="18"/>
              </w:rPr>
            </w:pPr>
            <w:r>
              <w:rPr>
                <w:rFonts w:ascii="Calibri" w:hAnsi="Calibri" w:cs="Calibri"/>
                <w:color w:val="364049"/>
                <w:sz w:val="18"/>
                <w:szCs w:val="18"/>
              </w:rPr>
              <w:t>2.4.      Nematerijalni troskovi</w:t>
            </w:r>
          </w:p>
        </w:tc>
        <w:tc>
          <w:tcPr>
            <w:tcW w:w="1320" w:type="dxa"/>
            <w:tcBorders>
              <w:top w:val="nil"/>
              <w:left w:val="nil"/>
              <w:bottom w:val="single" w:sz="4" w:space="0" w:color="A0A0A0"/>
              <w:right w:val="single" w:sz="4" w:space="0" w:color="A0A0A0"/>
            </w:tcBorders>
            <w:shd w:val="clear" w:color="000000" w:fill="AEAAAA"/>
            <w:noWrap/>
            <w:hideMark/>
          </w:tcPr>
          <w:p w14:paraId="19F02D6D" w14:textId="00B43298" w:rsidR="00063163" w:rsidRDefault="00063163">
            <w:pPr>
              <w:jc w:val="center"/>
              <w:rPr>
                <w:rFonts w:ascii="Calibri" w:hAnsi="Calibri" w:cs="Calibri"/>
                <w:color w:val="364049"/>
                <w:sz w:val="18"/>
                <w:szCs w:val="18"/>
              </w:rPr>
            </w:pPr>
            <w:r>
              <w:rPr>
                <w:rFonts w:ascii="Calibri" w:hAnsi="Calibri" w:cs="Calibri"/>
                <w:color w:val="364049"/>
                <w:sz w:val="18"/>
                <w:szCs w:val="18"/>
              </w:rPr>
              <w:t>169</w:t>
            </w:r>
            <w:r w:rsidR="00D3733F">
              <w:rPr>
                <w:rFonts w:ascii="Calibri" w:hAnsi="Calibri" w:cs="Calibri"/>
                <w:color w:val="364049"/>
                <w:sz w:val="18"/>
                <w:szCs w:val="18"/>
              </w:rPr>
              <w:t>.</w:t>
            </w:r>
            <w:r>
              <w:rPr>
                <w:rFonts w:ascii="Calibri" w:hAnsi="Calibri" w:cs="Calibri"/>
                <w:color w:val="364049"/>
                <w:sz w:val="18"/>
                <w:szCs w:val="18"/>
              </w:rPr>
              <w:t>000</w:t>
            </w:r>
            <w:r w:rsidR="00D3733F">
              <w:rPr>
                <w:rFonts w:ascii="Calibri" w:hAnsi="Calibri" w:cs="Calibri"/>
                <w:color w:val="364049"/>
                <w:sz w:val="18"/>
                <w:szCs w:val="18"/>
              </w:rPr>
              <w:t>,00</w:t>
            </w:r>
          </w:p>
        </w:tc>
      </w:tr>
      <w:tr w:rsidR="00063163" w14:paraId="3853EE17"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09253D64"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340</w:t>
            </w:r>
          </w:p>
        </w:tc>
        <w:tc>
          <w:tcPr>
            <w:tcW w:w="7007" w:type="dxa"/>
            <w:tcBorders>
              <w:top w:val="nil"/>
              <w:left w:val="nil"/>
              <w:bottom w:val="single" w:sz="4" w:space="0" w:color="A0A0A0"/>
              <w:right w:val="single" w:sz="4" w:space="0" w:color="A0A0A0"/>
            </w:tcBorders>
            <w:shd w:val="clear" w:color="000000" w:fill="FFFFFF"/>
            <w:noWrap/>
            <w:hideMark/>
          </w:tcPr>
          <w:p w14:paraId="74B0E9A9" w14:textId="77777777" w:rsidR="00063163" w:rsidRDefault="00063163">
            <w:pPr>
              <w:rPr>
                <w:rFonts w:ascii="Calibri" w:hAnsi="Calibri" w:cs="Calibri"/>
                <w:color w:val="364049"/>
                <w:sz w:val="18"/>
                <w:szCs w:val="18"/>
              </w:rPr>
            </w:pPr>
            <w:r>
              <w:rPr>
                <w:rFonts w:ascii="Calibri" w:hAnsi="Calibri" w:cs="Calibri"/>
                <w:color w:val="364049"/>
                <w:sz w:val="18"/>
                <w:szCs w:val="18"/>
              </w:rPr>
              <w:t>2.4.1.   Troškovi neproizvodnih usluga- notarske, advokatske usluge, revizije FI, usluge angažo</w:t>
            </w:r>
          </w:p>
        </w:tc>
        <w:tc>
          <w:tcPr>
            <w:tcW w:w="1320" w:type="dxa"/>
            <w:tcBorders>
              <w:top w:val="nil"/>
              <w:left w:val="nil"/>
              <w:bottom w:val="single" w:sz="4" w:space="0" w:color="A0A0A0"/>
              <w:right w:val="single" w:sz="4" w:space="0" w:color="A0A0A0"/>
            </w:tcBorders>
            <w:shd w:val="clear" w:color="000000" w:fill="FFFFFF"/>
            <w:noWrap/>
            <w:hideMark/>
          </w:tcPr>
          <w:p w14:paraId="4200EB69" w14:textId="62234F68" w:rsidR="00063163" w:rsidRDefault="00063163">
            <w:pPr>
              <w:jc w:val="center"/>
              <w:rPr>
                <w:rFonts w:ascii="Calibri" w:hAnsi="Calibri" w:cs="Calibri"/>
                <w:color w:val="364049"/>
                <w:sz w:val="18"/>
                <w:szCs w:val="18"/>
              </w:rPr>
            </w:pPr>
            <w:r>
              <w:rPr>
                <w:rFonts w:ascii="Calibri" w:hAnsi="Calibri" w:cs="Calibri"/>
                <w:color w:val="364049"/>
                <w:sz w:val="18"/>
                <w:szCs w:val="18"/>
              </w:rPr>
              <w:t>75</w:t>
            </w:r>
            <w:r w:rsidR="00D3733F">
              <w:rPr>
                <w:rFonts w:ascii="Calibri" w:hAnsi="Calibri" w:cs="Calibri"/>
                <w:color w:val="364049"/>
                <w:sz w:val="18"/>
                <w:szCs w:val="18"/>
              </w:rPr>
              <w:t>.</w:t>
            </w:r>
            <w:r>
              <w:rPr>
                <w:rFonts w:ascii="Calibri" w:hAnsi="Calibri" w:cs="Calibri"/>
                <w:color w:val="364049"/>
                <w:sz w:val="18"/>
                <w:szCs w:val="18"/>
              </w:rPr>
              <w:t>000</w:t>
            </w:r>
            <w:r w:rsidR="00D3733F">
              <w:rPr>
                <w:rFonts w:ascii="Calibri" w:hAnsi="Calibri" w:cs="Calibri"/>
                <w:color w:val="364049"/>
                <w:sz w:val="18"/>
                <w:szCs w:val="18"/>
              </w:rPr>
              <w:t>,</w:t>
            </w:r>
            <w:r>
              <w:rPr>
                <w:rFonts w:ascii="Calibri" w:hAnsi="Calibri" w:cs="Calibri"/>
                <w:color w:val="364049"/>
                <w:sz w:val="18"/>
                <w:szCs w:val="18"/>
              </w:rPr>
              <w:t>00</w:t>
            </w:r>
          </w:p>
        </w:tc>
      </w:tr>
      <w:tr w:rsidR="00063163" w14:paraId="40234E7C"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06E1C51F"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350</w:t>
            </w:r>
          </w:p>
        </w:tc>
        <w:tc>
          <w:tcPr>
            <w:tcW w:w="7007" w:type="dxa"/>
            <w:tcBorders>
              <w:top w:val="nil"/>
              <w:left w:val="nil"/>
              <w:bottom w:val="single" w:sz="4" w:space="0" w:color="A0A0A0"/>
              <w:right w:val="single" w:sz="4" w:space="0" w:color="A0A0A0"/>
            </w:tcBorders>
            <w:shd w:val="clear" w:color="000000" w:fill="FFFFFF"/>
            <w:noWrap/>
            <w:hideMark/>
          </w:tcPr>
          <w:p w14:paraId="1E53E4CB" w14:textId="77777777" w:rsidR="00063163" w:rsidRDefault="00063163">
            <w:pPr>
              <w:rPr>
                <w:rFonts w:ascii="Calibri" w:hAnsi="Calibri" w:cs="Calibri"/>
                <w:color w:val="364049"/>
                <w:sz w:val="18"/>
                <w:szCs w:val="18"/>
              </w:rPr>
            </w:pPr>
            <w:r>
              <w:rPr>
                <w:rFonts w:ascii="Calibri" w:hAnsi="Calibri" w:cs="Calibri"/>
                <w:color w:val="364049"/>
                <w:sz w:val="18"/>
                <w:szCs w:val="18"/>
              </w:rPr>
              <w:t>2.4.2.   Troškovi stručnog obrazovanja zaposlenih</w:t>
            </w:r>
          </w:p>
        </w:tc>
        <w:tc>
          <w:tcPr>
            <w:tcW w:w="1320" w:type="dxa"/>
            <w:tcBorders>
              <w:top w:val="nil"/>
              <w:left w:val="nil"/>
              <w:bottom w:val="single" w:sz="4" w:space="0" w:color="A0A0A0"/>
              <w:right w:val="single" w:sz="4" w:space="0" w:color="A0A0A0"/>
            </w:tcBorders>
            <w:shd w:val="clear" w:color="000000" w:fill="FFFFFF"/>
            <w:noWrap/>
            <w:hideMark/>
          </w:tcPr>
          <w:p w14:paraId="137D11DF" w14:textId="0820C3EB" w:rsidR="00063163" w:rsidRDefault="00063163">
            <w:pPr>
              <w:jc w:val="center"/>
              <w:rPr>
                <w:rFonts w:ascii="Calibri" w:hAnsi="Calibri" w:cs="Calibri"/>
                <w:color w:val="364049"/>
                <w:sz w:val="18"/>
                <w:szCs w:val="18"/>
              </w:rPr>
            </w:pPr>
            <w:r>
              <w:rPr>
                <w:rFonts w:ascii="Calibri" w:hAnsi="Calibri" w:cs="Calibri"/>
                <w:color w:val="364049"/>
                <w:sz w:val="18"/>
                <w:szCs w:val="18"/>
              </w:rPr>
              <w:t>10</w:t>
            </w:r>
            <w:r w:rsidR="00D3733F">
              <w:rPr>
                <w:rFonts w:ascii="Calibri" w:hAnsi="Calibri" w:cs="Calibri"/>
                <w:color w:val="364049"/>
                <w:sz w:val="18"/>
                <w:szCs w:val="18"/>
              </w:rPr>
              <w:t>.</w:t>
            </w:r>
            <w:r>
              <w:rPr>
                <w:rFonts w:ascii="Calibri" w:hAnsi="Calibri" w:cs="Calibri"/>
                <w:color w:val="364049"/>
                <w:sz w:val="18"/>
                <w:szCs w:val="18"/>
              </w:rPr>
              <w:t>000</w:t>
            </w:r>
            <w:r w:rsidR="00D3733F">
              <w:rPr>
                <w:rFonts w:ascii="Calibri" w:hAnsi="Calibri" w:cs="Calibri"/>
                <w:color w:val="364049"/>
                <w:sz w:val="18"/>
                <w:szCs w:val="18"/>
              </w:rPr>
              <w:t>,</w:t>
            </w:r>
            <w:r>
              <w:rPr>
                <w:rFonts w:ascii="Calibri" w:hAnsi="Calibri" w:cs="Calibri"/>
                <w:color w:val="364049"/>
                <w:sz w:val="18"/>
                <w:szCs w:val="18"/>
              </w:rPr>
              <w:t>00</w:t>
            </w:r>
          </w:p>
        </w:tc>
      </w:tr>
      <w:tr w:rsidR="00063163" w14:paraId="1FC5E183"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2586C6E9"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360</w:t>
            </w:r>
          </w:p>
        </w:tc>
        <w:tc>
          <w:tcPr>
            <w:tcW w:w="7007" w:type="dxa"/>
            <w:tcBorders>
              <w:top w:val="nil"/>
              <w:left w:val="nil"/>
              <w:bottom w:val="single" w:sz="4" w:space="0" w:color="A0A0A0"/>
              <w:right w:val="single" w:sz="4" w:space="0" w:color="A0A0A0"/>
            </w:tcBorders>
            <w:shd w:val="clear" w:color="000000" w:fill="FFFFFF"/>
            <w:noWrap/>
            <w:hideMark/>
          </w:tcPr>
          <w:p w14:paraId="3E89A6A5" w14:textId="77777777" w:rsidR="00063163" w:rsidRDefault="00063163">
            <w:pPr>
              <w:rPr>
                <w:rFonts w:ascii="Calibri" w:hAnsi="Calibri" w:cs="Calibri"/>
                <w:color w:val="364049"/>
                <w:sz w:val="18"/>
                <w:szCs w:val="18"/>
              </w:rPr>
            </w:pPr>
            <w:r>
              <w:rPr>
                <w:rFonts w:ascii="Calibri" w:hAnsi="Calibri" w:cs="Calibri"/>
                <w:color w:val="364049"/>
                <w:sz w:val="18"/>
                <w:szCs w:val="18"/>
              </w:rPr>
              <w:t>2.4.3.   Troškovi stručnih publikacija</w:t>
            </w:r>
          </w:p>
        </w:tc>
        <w:tc>
          <w:tcPr>
            <w:tcW w:w="1320" w:type="dxa"/>
            <w:tcBorders>
              <w:top w:val="nil"/>
              <w:left w:val="nil"/>
              <w:bottom w:val="single" w:sz="4" w:space="0" w:color="A0A0A0"/>
              <w:right w:val="single" w:sz="4" w:space="0" w:color="A0A0A0"/>
            </w:tcBorders>
            <w:shd w:val="clear" w:color="000000" w:fill="FFFFFF"/>
            <w:noWrap/>
            <w:hideMark/>
          </w:tcPr>
          <w:p w14:paraId="41CAE527" w14:textId="64AAB77D" w:rsidR="00063163" w:rsidRDefault="00063163">
            <w:pPr>
              <w:jc w:val="center"/>
              <w:rPr>
                <w:rFonts w:ascii="Calibri" w:hAnsi="Calibri" w:cs="Calibri"/>
                <w:color w:val="364049"/>
                <w:sz w:val="18"/>
                <w:szCs w:val="18"/>
              </w:rPr>
            </w:pPr>
            <w:r>
              <w:rPr>
                <w:rFonts w:ascii="Calibri" w:hAnsi="Calibri" w:cs="Calibri"/>
                <w:color w:val="364049"/>
                <w:sz w:val="18"/>
                <w:szCs w:val="18"/>
              </w:rPr>
              <w:t>3</w:t>
            </w:r>
            <w:r w:rsidR="00D3733F">
              <w:rPr>
                <w:rFonts w:ascii="Calibri" w:hAnsi="Calibri" w:cs="Calibri"/>
                <w:color w:val="364049"/>
                <w:sz w:val="18"/>
                <w:szCs w:val="18"/>
              </w:rPr>
              <w:t>.</w:t>
            </w:r>
            <w:r>
              <w:rPr>
                <w:rFonts w:ascii="Calibri" w:hAnsi="Calibri" w:cs="Calibri"/>
                <w:color w:val="364049"/>
                <w:sz w:val="18"/>
                <w:szCs w:val="18"/>
              </w:rPr>
              <w:t>000</w:t>
            </w:r>
            <w:r w:rsidR="00D3733F">
              <w:rPr>
                <w:rFonts w:ascii="Calibri" w:hAnsi="Calibri" w:cs="Calibri"/>
                <w:color w:val="364049"/>
                <w:sz w:val="18"/>
                <w:szCs w:val="18"/>
              </w:rPr>
              <w:t>,</w:t>
            </w:r>
            <w:r>
              <w:rPr>
                <w:rFonts w:ascii="Calibri" w:hAnsi="Calibri" w:cs="Calibri"/>
                <w:color w:val="364049"/>
                <w:sz w:val="18"/>
                <w:szCs w:val="18"/>
              </w:rPr>
              <w:t>00</w:t>
            </w:r>
          </w:p>
        </w:tc>
      </w:tr>
      <w:tr w:rsidR="00063163" w14:paraId="3BE79DF4"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056917FD"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370</w:t>
            </w:r>
          </w:p>
        </w:tc>
        <w:tc>
          <w:tcPr>
            <w:tcW w:w="7007" w:type="dxa"/>
            <w:tcBorders>
              <w:top w:val="nil"/>
              <w:left w:val="nil"/>
              <w:bottom w:val="single" w:sz="4" w:space="0" w:color="A0A0A0"/>
              <w:right w:val="single" w:sz="4" w:space="0" w:color="A0A0A0"/>
            </w:tcBorders>
            <w:shd w:val="clear" w:color="000000" w:fill="FFFFFF"/>
            <w:noWrap/>
            <w:hideMark/>
          </w:tcPr>
          <w:p w14:paraId="2BC9FDA2" w14:textId="77777777" w:rsidR="00063163" w:rsidRDefault="00063163">
            <w:pPr>
              <w:rPr>
                <w:rFonts w:ascii="Calibri" w:hAnsi="Calibri" w:cs="Calibri"/>
                <w:color w:val="364049"/>
                <w:sz w:val="18"/>
                <w:szCs w:val="18"/>
              </w:rPr>
            </w:pPr>
            <w:r>
              <w:rPr>
                <w:rFonts w:ascii="Calibri" w:hAnsi="Calibri" w:cs="Calibri"/>
                <w:color w:val="364049"/>
                <w:sz w:val="18"/>
                <w:szCs w:val="18"/>
              </w:rPr>
              <w:t>2.4.4.   Ostale neproizvodne usluge</w:t>
            </w:r>
          </w:p>
        </w:tc>
        <w:tc>
          <w:tcPr>
            <w:tcW w:w="1320" w:type="dxa"/>
            <w:tcBorders>
              <w:top w:val="nil"/>
              <w:left w:val="nil"/>
              <w:bottom w:val="single" w:sz="4" w:space="0" w:color="A0A0A0"/>
              <w:right w:val="single" w:sz="4" w:space="0" w:color="A0A0A0"/>
            </w:tcBorders>
            <w:shd w:val="clear" w:color="000000" w:fill="FFFFFF"/>
            <w:noWrap/>
            <w:hideMark/>
          </w:tcPr>
          <w:p w14:paraId="7F13F695" w14:textId="2A685105" w:rsidR="00063163" w:rsidRDefault="00063163">
            <w:pPr>
              <w:jc w:val="center"/>
              <w:rPr>
                <w:rFonts w:ascii="Calibri" w:hAnsi="Calibri" w:cs="Calibri"/>
                <w:color w:val="364049"/>
                <w:sz w:val="18"/>
                <w:szCs w:val="18"/>
              </w:rPr>
            </w:pPr>
            <w:r>
              <w:rPr>
                <w:rFonts w:ascii="Calibri" w:hAnsi="Calibri" w:cs="Calibri"/>
                <w:color w:val="364049"/>
                <w:sz w:val="18"/>
                <w:szCs w:val="18"/>
              </w:rPr>
              <w:t>7</w:t>
            </w:r>
            <w:r w:rsidR="00D3733F">
              <w:rPr>
                <w:rFonts w:ascii="Calibri" w:hAnsi="Calibri" w:cs="Calibri"/>
                <w:color w:val="364049"/>
                <w:sz w:val="18"/>
                <w:szCs w:val="18"/>
              </w:rPr>
              <w:t>.</w:t>
            </w:r>
            <w:r>
              <w:rPr>
                <w:rFonts w:ascii="Calibri" w:hAnsi="Calibri" w:cs="Calibri"/>
                <w:color w:val="364049"/>
                <w:sz w:val="18"/>
                <w:szCs w:val="18"/>
              </w:rPr>
              <w:t>000</w:t>
            </w:r>
            <w:r w:rsidR="00D3733F">
              <w:rPr>
                <w:rFonts w:ascii="Calibri" w:hAnsi="Calibri" w:cs="Calibri"/>
                <w:color w:val="364049"/>
                <w:sz w:val="18"/>
                <w:szCs w:val="18"/>
              </w:rPr>
              <w:t>,</w:t>
            </w:r>
            <w:r>
              <w:rPr>
                <w:rFonts w:ascii="Calibri" w:hAnsi="Calibri" w:cs="Calibri"/>
                <w:color w:val="364049"/>
                <w:sz w:val="18"/>
                <w:szCs w:val="18"/>
              </w:rPr>
              <w:t>00</w:t>
            </w:r>
          </w:p>
        </w:tc>
      </w:tr>
      <w:tr w:rsidR="00063163" w14:paraId="26C49501"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3FA35BCD"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380</w:t>
            </w:r>
          </w:p>
        </w:tc>
        <w:tc>
          <w:tcPr>
            <w:tcW w:w="7007" w:type="dxa"/>
            <w:tcBorders>
              <w:top w:val="nil"/>
              <w:left w:val="nil"/>
              <w:bottom w:val="single" w:sz="4" w:space="0" w:color="A0A0A0"/>
              <w:right w:val="single" w:sz="4" w:space="0" w:color="A0A0A0"/>
            </w:tcBorders>
            <w:shd w:val="clear" w:color="000000" w:fill="FFFFFF"/>
            <w:noWrap/>
            <w:hideMark/>
          </w:tcPr>
          <w:p w14:paraId="7905B038" w14:textId="77777777" w:rsidR="00063163" w:rsidRDefault="00063163">
            <w:pPr>
              <w:rPr>
                <w:rFonts w:ascii="Calibri" w:hAnsi="Calibri" w:cs="Calibri"/>
                <w:color w:val="364049"/>
                <w:sz w:val="18"/>
                <w:szCs w:val="18"/>
              </w:rPr>
            </w:pPr>
            <w:r>
              <w:rPr>
                <w:rFonts w:ascii="Calibri" w:hAnsi="Calibri" w:cs="Calibri"/>
                <w:color w:val="364049"/>
                <w:sz w:val="18"/>
                <w:szCs w:val="18"/>
              </w:rPr>
              <w:t>2.4.5.   Troškovi reprezentacije</w:t>
            </w:r>
          </w:p>
        </w:tc>
        <w:tc>
          <w:tcPr>
            <w:tcW w:w="1320" w:type="dxa"/>
            <w:tcBorders>
              <w:top w:val="nil"/>
              <w:left w:val="nil"/>
              <w:bottom w:val="single" w:sz="4" w:space="0" w:color="A0A0A0"/>
              <w:right w:val="single" w:sz="4" w:space="0" w:color="A0A0A0"/>
            </w:tcBorders>
            <w:shd w:val="clear" w:color="000000" w:fill="FFFFFF"/>
            <w:noWrap/>
            <w:hideMark/>
          </w:tcPr>
          <w:p w14:paraId="6A4651FF" w14:textId="039AF2AC" w:rsidR="00063163" w:rsidRDefault="00063163">
            <w:pPr>
              <w:jc w:val="center"/>
              <w:rPr>
                <w:rFonts w:ascii="Calibri" w:hAnsi="Calibri" w:cs="Calibri"/>
                <w:color w:val="364049"/>
                <w:sz w:val="18"/>
                <w:szCs w:val="18"/>
              </w:rPr>
            </w:pPr>
            <w:r>
              <w:rPr>
                <w:rFonts w:ascii="Calibri" w:hAnsi="Calibri" w:cs="Calibri"/>
                <w:color w:val="364049"/>
                <w:sz w:val="18"/>
                <w:szCs w:val="18"/>
              </w:rPr>
              <w:t>30</w:t>
            </w:r>
            <w:r w:rsidR="00D3733F">
              <w:rPr>
                <w:rFonts w:ascii="Calibri" w:hAnsi="Calibri" w:cs="Calibri"/>
                <w:color w:val="364049"/>
                <w:sz w:val="18"/>
                <w:szCs w:val="18"/>
              </w:rPr>
              <w:t>.</w:t>
            </w:r>
            <w:r>
              <w:rPr>
                <w:rFonts w:ascii="Calibri" w:hAnsi="Calibri" w:cs="Calibri"/>
                <w:color w:val="364049"/>
                <w:sz w:val="18"/>
                <w:szCs w:val="18"/>
              </w:rPr>
              <w:t>000</w:t>
            </w:r>
            <w:r w:rsidR="00D3733F">
              <w:rPr>
                <w:rFonts w:ascii="Calibri" w:hAnsi="Calibri" w:cs="Calibri"/>
                <w:color w:val="364049"/>
                <w:sz w:val="18"/>
                <w:szCs w:val="18"/>
              </w:rPr>
              <w:t>,</w:t>
            </w:r>
            <w:r>
              <w:rPr>
                <w:rFonts w:ascii="Calibri" w:hAnsi="Calibri" w:cs="Calibri"/>
                <w:color w:val="364049"/>
                <w:sz w:val="18"/>
                <w:szCs w:val="18"/>
              </w:rPr>
              <w:t>00</w:t>
            </w:r>
          </w:p>
        </w:tc>
      </w:tr>
      <w:tr w:rsidR="00063163" w14:paraId="52C2FF2A"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5E951A62"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390</w:t>
            </w:r>
          </w:p>
        </w:tc>
        <w:tc>
          <w:tcPr>
            <w:tcW w:w="7007" w:type="dxa"/>
            <w:tcBorders>
              <w:top w:val="nil"/>
              <w:left w:val="nil"/>
              <w:bottom w:val="single" w:sz="4" w:space="0" w:color="A0A0A0"/>
              <w:right w:val="single" w:sz="4" w:space="0" w:color="A0A0A0"/>
            </w:tcBorders>
            <w:shd w:val="clear" w:color="000000" w:fill="FFFFFF"/>
            <w:noWrap/>
            <w:hideMark/>
          </w:tcPr>
          <w:p w14:paraId="19220555" w14:textId="77777777" w:rsidR="00063163" w:rsidRDefault="00063163">
            <w:pPr>
              <w:rPr>
                <w:rFonts w:ascii="Calibri" w:hAnsi="Calibri" w:cs="Calibri"/>
                <w:color w:val="364049"/>
                <w:sz w:val="18"/>
                <w:szCs w:val="18"/>
              </w:rPr>
            </w:pPr>
            <w:r>
              <w:rPr>
                <w:rFonts w:ascii="Calibri" w:hAnsi="Calibri" w:cs="Calibri"/>
                <w:color w:val="364049"/>
                <w:sz w:val="18"/>
                <w:szCs w:val="18"/>
              </w:rPr>
              <w:t>2.4.6.   Premije osiguranja, nekretnine, postrojenja i oprema</w:t>
            </w:r>
          </w:p>
        </w:tc>
        <w:tc>
          <w:tcPr>
            <w:tcW w:w="1320" w:type="dxa"/>
            <w:tcBorders>
              <w:top w:val="nil"/>
              <w:left w:val="nil"/>
              <w:bottom w:val="single" w:sz="4" w:space="0" w:color="A0A0A0"/>
              <w:right w:val="single" w:sz="4" w:space="0" w:color="A0A0A0"/>
            </w:tcBorders>
            <w:shd w:val="clear" w:color="000000" w:fill="FFFFFF"/>
            <w:noWrap/>
            <w:hideMark/>
          </w:tcPr>
          <w:p w14:paraId="49335EA7" w14:textId="0F9AF7D1" w:rsidR="00063163" w:rsidRDefault="00063163">
            <w:pPr>
              <w:jc w:val="center"/>
              <w:rPr>
                <w:rFonts w:ascii="Calibri" w:hAnsi="Calibri" w:cs="Calibri"/>
                <w:color w:val="364049"/>
                <w:sz w:val="18"/>
                <w:szCs w:val="18"/>
              </w:rPr>
            </w:pPr>
            <w:r>
              <w:rPr>
                <w:rFonts w:ascii="Calibri" w:hAnsi="Calibri" w:cs="Calibri"/>
                <w:color w:val="364049"/>
                <w:sz w:val="18"/>
                <w:szCs w:val="18"/>
              </w:rPr>
              <w:t>5</w:t>
            </w:r>
            <w:r w:rsidR="00D3733F">
              <w:rPr>
                <w:rFonts w:ascii="Calibri" w:hAnsi="Calibri" w:cs="Calibri"/>
                <w:color w:val="364049"/>
                <w:sz w:val="18"/>
                <w:szCs w:val="18"/>
              </w:rPr>
              <w:t>.</w:t>
            </w:r>
            <w:r>
              <w:rPr>
                <w:rFonts w:ascii="Calibri" w:hAnsi="Calibri" w:cs="Calibri"/>
                <w:color w:val="364049"/>
                <w:sz w:val="18"/>
                <w:szCs w:val="18"/>
              </w:rPr>
              <w:t>000</w:t>
            </w:r>
            <w:r w:rsidR="00D3733F">
              <w:rPr>
                <w:rFonts w:ascii="Calibri" w:hAnsi="Calibri" w:cs="Calibri"/>
                <w:color w:val="364049"/>
                <w:sz w:val="18"/>
                <w:szCs w:val="18"/>
              </w:rPr>
              <w:t>,</w:t>
            </w:r>
            <w:r>
              <w:rPr>
                <w:rFonts w:ascii="Calibri" w:hAnsi="Calibri" w:cs="Calibri"/>
                <w:color w:val="364049"/>
                <w:sz w:val="18"/>
                <w:szCs w:val="18"/>
              </w:rPr>
              <w:t>00</w:t>
            </w:r>
          </w:p>
        </w:tc>
      </w:tr>
      <w:tr w:rsidR="00063163" w14:paraId="60D87AD1"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1DC3C793"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400</w:t>
            </w:r>
          </w:p>
        </w:tc>
        <w:tc>
          <w:tcPr>
            <w:tcW w:w="7007" w:type="dxa"/>
            <w:tcBorders>
              <w:top w:val="nil"/>
              <w:left w:val="nil"/>
              <w:bottom w:val="single" w:sz="4" w:space="0" w:color="A0A0A0"/>
              <w:right w:val="single" w:sz="4" w:space="0" w:color="A0A0A0"/>
            </w:tcBorders>
            <w:shd w:val="clear" w:color="000000" w:fill="FFFFFF"/>
            <w:noWrap/>
            <w:hideMark/>
          </w:tcPr>
          <w:p w14:paraId="7ACC19A8" w14:textId="77777777" w:rsidR="00063163" w:rsidRDefault="00063163">
            <w:pPr>
              <w:rPr>
                <w:rFonts w:ascii="Calibri" w:hAnsi="Calibri" w:cs="Calibri"/>
                <w:color w:val="364049"/>
                <w:sz w:val="18"/>
                <w:szCs w:val="18"/>
              </w:rPr>
            </w:pPr>
            <w:r>
              <w:rPr>
                <w:rFonts w:ascii="Calibri" w:hAnsi="Calibri" w:cs="Calibri"/>
                <w:color w:val="364049"/>
                <w:sz w:val="18"/>
                <w:szCs w:val="18"/>
              </w:rPr>
              <w:t>2.4.7.   Premije za obavezno osiguranje zaposlenih</w:t>
            </w:r>
          </w:p>
        </w:tc>
        <w:tc>
          <w:tcPr>
            <w:tcW w:w="1320" w:type="dxa"/>
            <w:tcBorders>
              <w:top w:val="nil"/>
              <w:left w:val="nil"/>
              <w:bottom w:val="single" w:sz="4" w:space="0" w:color="A0A0A0"/>
              <w:right w:val="single" w:sz="4" w:space="0" w:color="A0A0A0"/>
            </w:tcBorders>
            <w:shd w:val="clear" w:color="000000" w:fill="FFFFFF"/>
            <w:noWrap/>
            <w:hideMark/>
          </w:tcPr>
          <w:p w14:paraId="03013846" w14:textId="2DB77B31" w:rsidR="00063163" w:rsidRDefault="00063163">
            <w:pPr>
              <w:jc w:val="center"/>
              <w:rPr>
                <w:rFonts w:ascii="Calibri" w:hAnsi="Calibri" w:cs="Calibri"/>
                <w:color w:val="364049"/>
                <w:sz w:val="18"/>
                <w:szCs w:val="18"/>
              </w:rPr>
            </w:pPr>
            <w:r>
              <w:rPr>
                <w:rFonts w:ascii="Calibri" w:hAnsi="Calibri" w:cs="Calibri"/>
                <w:color w:val="364049"/>
                <w:sz w:val="18"/>
                <w:szCs w:val="18"/>
              </w:rPr>
              <w:t>8</w:t>
            </w:r>
            <w:r w:rsidR="00EF3276">
              <w:rPr>
                <w:rFonts w:ascii="Calibri" w:hAnsi="Calibri" w:cs="Calibri"/>
                <w:color w:val="364049"/>
                <w:sz w:val="18"/>
                <w:szCs w:val="18"/>
              </w:rPr>
              <w:t>.</w:t>
            </w:r>
            <w:r>
              <w:rPr>
                <w:rFonts w:ascii="Calibri" w:hAnsi="Calibri" w:cs="Calibri"/>
                <w:color w:val="364049"/>
                <w:sz w:val="18"/>
                <w:szCs w:val="18"/>
              </w:rPr>
              <w:t>000</w:t>
            </w:r>
            <w:r w:rsidR="00EF3276">
              <w:rPr>
                <w:rFonts w:ascii="Calibri" w:hAnsi="Calibri" w:cs="Calibri"/>
                <w:color w:val="364049"/>
                <w:sz w:val="18"/>
                <w:szCs w:val="18"/>
              </w:rPr>
              <w:t>,</w:t>
            </w:r>
            <w:r>
              <w:rPr>
                <w:rFonts w:ascii="Calibri" w:hAnsi="Calibri" w:cs="Calibri"/>
                <w:color w:val="364049"/>
                <w:sz w:val="18"/>
                <w:szCs w:val="18"/>
              </w:rPr>
              <w:t>00</w:t>
            </w:r>
          </w:p>
        </w:tc>
      </w:tr>
      <w:tr w:rsidR="00063163" w14:paraId="01843F3F"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6BEC9644"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410</w:t>
            </w:r>
          </w:p>
        </w:tc>
        <w:tc>
          <w:tcPr>
            <w:tcW w:w="7007" w:type="dxa"/>
            <w:tcBorders>
              <w:top w:val="nil"/>
              <w:left w:val="nil"/>
              <w:bottom w:val="single" w:sz="4" w:space="0" w:color="A0A0A0"/>
              <w:right w:val="single" w:sz="4" w:space="0" w:color="A0A0A0"/>
            </w:tcBorders>
            <w:shd w:val="clear" w:color="000000" w:fill="FFFFFF"/>
            <w:noWrap/>
            <w:hideMark/>
          </w:tcPr>
          <w:p w14:paraId="6E4DA696" w14:textId="77777777" w:rsidR="00063163" w:rsidRDefault="00063163">
            <w:pPr>
              <w:rPr>
                <w:rFonts w:ascii="Calibri" w:hAnsi="Calibri" w:cs="Calibri"/>
                <w:color w:val="364049"/>
                <w:sz w:val="18"/>
                <w:szCs w:val="18"/>
              </w:rPr>
            </w:pPr>
            <w:r>
              <w:rPr>
                <w:rFonts w:ascii="Calibri" w:hAnsi="Calibri" w:cs="Calibri"/>
                <w:color w:val="364049"/>
                <w:sz w:val="18"/>
                <w:szCs w:val="18"/>
              </w:rPr>
              <w:t>2.4.8.   Troškovi platnog prometa (provizije i dr.)</w:t>
            </w:r>
          </w:p>
        </w:tc>
        <w:tc>
          <w:tcPr>
            <w:tcW w:w="1320" w:type="dxa"/>
            <w:tcBorders>
              <w:top w:val="nil"/>
              <w:left w:val="nil"/>
              <w:bottom w:val="single" w:sz="4" w:space="0" w:color="A0A0A0"/>
              <w:right w:val="single" w:sz="4" w:space="0" w:color="A0A0A0"/>
            </w:tcBorders>
            <w:shd w:val="clear" w:color="000000" w:fill="FFFFFF"/>
            <w:noWrap/>
            <w:hideMark/>
          </w:tcPr>
          <w:p w14:paraId="33FCBA4F" w14:textId="7D79D343" w:rsidR="00063163" w:rsidRDefault="00063163">
            <w:pPr>
              <w:jc w:val="center"/>
              <w:rPr>
                <w:rFonts w:ascii="Calibri" w:hAnsi="Calibri" w:cs="Calibri"/>
                <w:color w:val="364049"/>
                <w:sz w:val="18"/>
                <w:szCs w:val="18"/>
              </w:rPr>
            </w:pPr>
            <w:r>
              <w:rPr>
                <w:rFonts w:ascii="Calibri" w:hAnsi="Calibri" w:cs="Calibri"/>
                <w:color w:val="364049"/>
                <w:sz w:val="18"/>
                <w:szCs w:val="18"/>
              </w:rPr>
              <w:t>10</w:t>
            </w:r>
            <w:r w:rsidR="00EF3276">
              <w:rPr>
                <w:rFonts w:ascii="Calibri" w:hAnsi="Calibri" w:cs="Calibri"/>
                <w:color w:val="364049"/>
                <w:sz w:val="18"/>
                <w:szCs w:val="18"/>
              </w:rPr>
              <w:t>.</w:t>
            </w:r>
            <w:r>
              <w:rPr>
                <w:rFonts w:ascii="Calibri" w:hAnsi="Calibri" w:cs="Calibri"/>
                <w:color w:val="364049"/>
                <w:sz w:val="18"/>
                <w:szCs w:val="18"/>
              </w:rPr>
              <w:t>000</w:t>
            </w:r>
            <w:r w:rsidR="00EF3276">
              <w:rPr>
                <w:rFonts w:ascii="Calibri" w:hAnsi="Calibri" w:cs="Calibri"/>
                <w:color w:val="364049"/>
                <w:sz w:val="18"/>
                <w:szCs w:val="18"/>
              </w:rPr>
              <w:t>,</w:t>
            </w:r>
            <w:r>
              <w:rPr>
                <w:rFonts w:ascii="Calibri" w:hAnsi="Calibri" w:cs="Calibri"/>
                <w:color w:val="364049"/>
                <w:sz w:val="18"/>
                <w:szCs w:val="18"/>
              </w:rPr>
              <w:t>00</w:t>
            </w:r>
          </w:p>
        </w:tc>
      </w:tr>
      <w:tr w:rsidR="00063163" w14:paraId="7866EF56"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497AFF7F"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420</w:t>
            </w:r>
          </w:p>
        </w:tc>
        <w:tc>
          <w:tcPr>
            <w:tcW w:w="7007" w:type="dxa"/>
            <w:tcBorders>
              <w:top w:val="nil"/>
              <w:left w:val="nil"/>
              <w:bottom w:val="single" w:sz="4" w:space="0" w:color="A0A0A0"/>
              <w:right w:val="single" w:sz="4" w:space="0" w:color="A0A0A0"/>
            </w:tcBorders>
            <w:shd w:val="clear" w:color="000000" w:fill="FFFFFF"/>
            <w:noWrap/>
            <w:hideMark/>
          </w:tcPr>
          <w:p w14:paraId="0EA87A0A" w14:textId="77777777" w:rsidR="00063163" w:rsidRDefault="00063163">
            <w:pPr>
              <w:rPr>
                <w:rFonts w:ascii="Calibri" w:hAnsi="Calibri" w:cs="Calibri"/>
                <w:color w:val="364049"/>
                <w:sz w:val="18"/>
                <w:szCs w:val="18"/>
              </w:rPr>
            </w:pPr>
            <w:r>
              <w:rPr>
                <w:rFonts w:ascii="Calibri" w:hAnsi="Calibri" w:cs="Calibri"/>
                <w:color w:val="364049"/>
                <w:sz w:val="18"/>
                <w:szCs w:val="18"/>
              </w:rPr>
              <w:t>2.4.9.   Troškovi ostalih poreza</w:t>
            </w:r>
          </w:p>
        </w:tc>
        <w:tc>
          <w:tcPr>
            <w:tcW w:w="1320" w:type="dxa"/>
            <w:tcBorders>
              <w:top w:val="nil"/>
              <w:left w:val="nil"/>
              <w:bottom w:val="single" w:sz="4" w:space="0" w:color="A0A0A0"/>
              <w:right w:val="single" w:sz="4" w:space="0" w:color="A0A0A0"/>
            </w:tcBorders>
            <w:shd w:val="clear" w:color="000000" w:fill="FFFFFF"/>
            <w:noWrap/>
            <w:hideMark/>
          </w:tcPr>
          <w:p w14:paraId="705E9AD6" w14:textId="04D1F931" w:rsidR="00063163" w:rsidRDefault="00063163">
            <w:pPr>
              <w:jc w:val="center"/>
              <w:rPr>
                <w:rFonts w:ascii="Calibri" w:hAnsi="Calibri" w:cs="Calibri"/>
                <w:color w:val="364049"/>
                <w:sz w:val="18"/>
                <w:szCs w:val="18"/>
              </w:rPr>
            </w:pPr>
            <w:r>
              <w:rPr>
                <w:rFonts w:ascii="Calibri" w:hAnsi="Calibri" w:cs="Calibri"/>
                <w:color w:val="364049"/>
                <w:sz w:val="18"/>
                <w:szCs w:val="18"/>
              </w:rPr>
              <w:t>1</w:t>
            </w:r>
            <w:r w:rsidR="00EF3276">
              <w:rPr>
                <w:rFonts w:ascii="Calibri" w:hAnsi="Calibri" w:cs="Calibri"/>
                <w:color w:val="364049"/>
                <w:sz w:val="18"/>
                <w:szCs w:val="18"/>
              </w:rPr>
              <w:t>.</w:t>
            </w:r>
            <w:r>
              <w:rPr>
                <w:rFonts w:ascii="Calibri" w:hAnsi="Calibri" w:cs="Calibri"/>
                <w:color w:val="364049"/>
                <w:sz w:val="18"/>
                <w:szCs w:val="18"/>
              </w:rPr>
              <w:t>000</w:t>
            </w:r>
            <w:r w:rsidR="00EF3276">
              <w:rPr>
                <w:rFonts w:ascii="Calibri" w:hAnsi="Calibri" w:cs="Calibri"/>
                <w:color w:val="364049"/>
                <w:sz w:val="18"/>
                <w:szCs w:val="18"/>
              </w:rPr>
              <w:t>,</w:t>
            </w:r>
            <w:r>
              <w:rPr>
                <w:rFonts w:ascii="Calibri" w:hAnsi="Calibri" w:cs="Calibri"/>
                <w:color w:val="364049"/>
                <w:sz w:val="18"/>
                <w:szCs w:val="18"/>
              </w:rPr>
              <w:t>00</w:t>
            </w:r>
          </w:p>
        </w:tc>
      </w:tr>
      <w:tr w:rsidR="00063163" w14:paraId="55C3F4AF"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1FF8B027"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430</w:t>
            </w:r>
          </w:p>
        </w:tc>
        <w:tc>
          <w:tcPr>
            <w:tcW w:w="7007" w:type="dxa"/>
            <w:tcBorders>
              <w:top w:val="nil"/>
              <w:left w:val="nil"/>
              <w:bottom w:val="single" w:sz="4" w:space="0" w:color="A0A0A0"/>
              <w:right w:val="single" w:sz="4" w:space="0" w:color="A0A0A0"/>
            </w:tcBorders>
            <w:shd w:val="clear" w:color="000000" w:fill="FFFFFF"/>
            <w:noWrap/>
            <w:hideMark/>
          </w:tcPr>
          <w:p w14:paraId="228A9007" w14:textId="77777777" w:rsidR="00063163" w:rsidRDefault="00063163">
            <w:pPr>
              <w:rPr>
                <w:rFonts w:ascii="Calibri" w:hAnsi="Calibri" w:cs="Calibri"/>
                <w:color w:val="364049"/>
                <w:sz w:val="18"/>
                <w:szCs w:val="18"/>
              </w:rPr>
            </w:pPr>
            <w:r>
              <w:rPr>
                <w:rFonts w:ascii="Calibri" w:hAnsi="Calibri" w:cs="Calibri"/>
                <w:color w:val="364049"/>
                <w:sz w:val="18"/>
                <w:szCs w:val="18"/>
              </w:rPr>
              <w:t>2.4.10. Ostale usluge</w:t>
            </w:r>
          </w:p>
        </w:tc>
        <w:tc>
          <w:tcPr>
            <w:tcW w:w="1320" w:type="dxa"/>
            <w:tcBorders>
              <w:top w:val="nil"/>
              <w:left w:val="nil"/>
              <w:bottom w:val="single" w:sz="4" w:space="0" w:color="A0A0A0"/>
              <w:right w:val="single" w:sz="4" w:space="0" w:color="A0A0A0"/>
            </w:tcBorders>
            <w:shd w:val="clear" w:color="000000" w:fill="FFFFFF"/>
            <w:noWrap/>
            <w:hideMark/>
          </w:tcPr>
          <w:p w14:paraId="38C41770" w14:textId="772F71DF" w:rsidR="00063163" w:rsidRDefault="00063163">
            <w:pPr>
              <w:jc w:val="center"/>
              <w:rPr>
                <w:rFonts w:ascii="Calibri" w:hAnsi="Calibri" w:cs="Calibri"/>
                <w:color w:val="364049"/>
                <w:sz w:val="18"/>
                <w:szCs w:val="18"/>
              </w:rPr>
            </w:pPr>
            <w:r>
              <w:rPr>
                <w:rFonts w:ascii="Calibri" w:hAnsi="Calibri" w:cs="Calibri"/>
                <w:color w:val="364049"/>
                <w:sz w:val="18"/>
                <w:szCs w:val="18"/>
              </w:rPr>
              <w:t>20</w:t>
            </w:r>
            <w:r w:rsidR="00EF3276">
              <w:rPr>
                <w:rFonts w:ascii="Calibri" w:hAnsi="Calibri" w:cs="Calibri"/>
                <w:color w:val="364049"/>
                <w:sz w:val="18"/>
                <w:szCs w:val="18"/>
              </w:rPr>
              <w:t>.</w:t>
            </w:r>
            <w:r>
              <w:rPr>
                <w:rFonts w:ascii="Calibri" w:hAnsi="Calibri" w:cs="Calibri"/>
                <w:color w:val="364049"/>
                <w:sz w:val="18"/>
                <w:szCs w:val="18"/>
              </w:rPr>
              <w:t>000</w:t>
            </w:r>
            <w:r w:rsidR="00EF3276">
              <w:rPr>
                <w:rFonts w:ascii="Calibri" w:hAnsi="Calibri" w:cs="Calibri"/>
                <w:color w:val="364049"/>
                <w:sz w:val="18"/>
                <w:szCs w:val="18"/>
              </w:rPr>
              <w:t>,</w:t>
            </w:r>
            <w:r>
              <w:rPr>
                <w:rFonts w:ascii="Calibri" w:hAnsi="Calibri" w:cs="Calibri"/>
                <w:color w:val="364049"/>
                <w:sz w:val="18"/>
                <w:szCs w:val="18"/>
              </w:rPr>
              <w:t>00</w:t>
            </w:r>
          </w:p>
        </w:tc>
      </w:tr>
      <w:tr w:rsidR="00063163" w14:paraId="0E945560"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A6A6A6"/>
            <w:noWrap/>
            <w:hideMark/>
          </w:tcPr>
          <w:p w14:paraId="598EC4F9"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440</w:t>
            </w:r>
          </w:p>
        </w:tc>
        <w:tc>
          <w:tcPr>
            <w:tcW w:w="7007" w:type="dxa"/>
            <w:tcBorders>
              <w:top w:val="nil"/>
              <w:left w:val="nil"/>
              <w:bottom w:val="single" w:sz="4" w:space="0" w:color="A0A0A0"/>
              <w:right w:val="single" w:sz="4" w:space="0" w:color="A0A0A0"/>
            </w:tcBorders>
            <w:shd w:val="clear" w:color="000000" w:fill="AEAAAA"/>
            <w:noWrap/>
            <w:hideMark/>
          </w:tcPr>
          <w:p w14:paraId="552777C5" w14:textId="77777777" w:rsidR="00063163" w:rsidRDefault="00063163">
            <w:pPr>
              <w:rPr>
                <w:rFonts w:ascii="Calibri" w:hAnsi="Calibri" w:cs="Calibri"/>
                <w:color w:val="364049"/>
                <w:sz w:val="18"/>
                <w:szCs w:val="18"/>
              </w:rPr>
            </w:pPr>
            <w:r>
              <w:rPr>
                <w:rFonts w:ascii="Calibri" w:hAnsi="Calibri" w:cs="Calibri"/>
                <w:color w:val="364049"/>
                <w:sz w:val="18"/>
                <w:szCs w:val="18"/>
              </w:rPr>
              <w:t>2.5.      Rashodi kamata</w:t>
            </w:r>
          </w:p>
        </w:tc>
        <w:tc>
          <w:tcPr>
            <w:tcW w:w="1320" w:type="dxa"/>
            <w:tcBorders>
              <w:top w:val="nil"/>
              <w:left w:val="nil"/>
              <w:bottom w:val="single" w:sz="4" w:space="0" w:color="A0A0A0"/>
              <w:right w:val="single" w:sz="4" w:space="0" w:color="A0A0A0"/>
            </w:tcBorders>
            <w:shd w:val="clear" w:color="000000" w:fill="AEAAAA"/>
            <w:noWrap/>
            <w:hideMark/>
          </w:tcPr>
          <w:p w14:paraId="662AAF4F" w14:textId="5869A264" w:rsidR="00063163" w:rsidRDefault="00063163">
            <w:pPr>
              <w:jc w:val="center"/>
              <w:rPr>
                <w:rFonts w:ascii="Calibri" w:hAnsi="Calibri" w:cs="Calibri"/>
                <w:color w:val="364049"/>
                <w:sz w:val="18"/>
                <w:szCs w:val="18"/>
              </w:rPr>
            </w:pPr>
            <w:r>
              <w:rPr>
                <w:rFonts w:ascii="Calibri" w:hAnsi="Calibri" w:cs="Calibri"/>
                <w:color w:val="364049"/>
                <w:sz w:val="18"/>
                <w:szCs w:val="18"/>
              </w:rPr>
              <w:t>1</w:t>
            </w:r>
            <w:r w:rsidR="00EF3276">
              <w:rPr>
                <w:rFonts w:ascii="Calibri" w:hAnsi="Calibri" w:cs="Calibri"/>
                <w:color w:val="364049"/>
                <w:sz w:val="18"/>
                <w:szCs w:val="18"/>
              </w:rPr>
              <w:t>.</w:t>
            </w:r>
            <w:r>
              <w:rPr>
                <w:rFonts w:ascii="Calibri" w:hAnsi="Calibri" w:cs="Calibri"/>
                <w:color w:val="364049"/>
                <w:sz w:val="18"/>
                <w:szCs w:val="18"/>
              </w:rPr>
              <w:t>000</w:t>
            </w:r>
            <w:r w:rsidR="00EF3276">
              <w:rPr>
                <w:rFonts w:ascii="Calibri" w:hAnsi="Calibri" w:cs="Calibri"/>
                <w:color w:val="364049"/>
                <w:sz w:val="18"/>
                <w:szCs w:val="18"/>
              </w:rPr>
              <w:t>,00</w:t>
            </w:r>
          </w:p>
        </w:tc>
      </w:tr>
      <w:tr w:rsidR="00063163" w14:paraId="7E57120D"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6B9BF806"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450</w:t>
            </w:r>
          </w:p>
        </w:tc>
        <w:tc>
          <w:tcPr>
            <w:tcW w:w="7007" w:type="dxa"/>
            <w:tcBorders>
              <w:top w:val="nil"/>
              <w:left w:val="nil"/>
              <w:bottom w:val="single" w:sz="4" w:space="0" w:color="A0A0A0"/>
              <w:right w:val="single" w:sz="4" w:space="0" w:color="A0A0A0"/>
            </w:tcBorders>
            <w:shd w:val="clear" w:color="000000" w:fill="F6F8FA"/>
            <w:noWrap/>
            <w:hideMark/>
          </w:tcPr>
          <w:p w14:paraId="5986E834" w14:textId="77777777" w:rsidR="00063163" w:rsidRDefault="00063163">
            <w:pPr>
              <w:rPr>
                <w:rFonts w:ascii="Calibri" w:hAnsi="Calibri" w:cs="Calibri"/>
                <w:color w:val="364049"/>
                <w:sz w:val="18"/>
                <w:szCs w:val="18"/>
              </w:rPr>
            </w:pPr>
            <w:r>
              <w:rPr>
                <w:rFonts w:ascii="Calibri" w:hAnsi="Calibri" w:cs="Calibri"/>
                <w:color w:val="364049"/>
                <w:sz w:val="18"/>
                <w:szCs w:val="18"/>
              </w:rPr>
              <w:t>2.5.1.   Rashodi kamata po finansijskom lizingu</w:t>
            </w:r>
          </w:p>
        </w:tc>
        <w:tc>
          <w:tcPr>
            <w:tcW w:w="1320" w:type="dxa"/>
            <w:tcBorders>
              <w:top w:val="nil"/>
              <w:left w:val="nil"/>
              <w:bottom w:val="single" w:sz="4" w:space="0" w:color="A0A0A0"/>
              <w:right w:val="single" w:sz="4" w:space="0" w:color="A0A0A0"/>
            </w:tcBorders>
            <w:shd w:val="clear" w:color="000000" w:fill="F6F8FA"/>
            <w:noWrap/>
            <w:hideMark/>
          </w:tcPr>
          <w:p w14:paraId="2786EDA1" w14:textId="7611571D" w:rsidR="00063163" w:rsidRDefault="00063163">
            <w:pPr>
              <w:jc w:val="center"/>
              <w:rPr>
                <w:rFonts w:ascii="Calibri" w:hAnsi="Calibri" w:cs="Calibri"/>
                <w:color w:val="364049"/>
                <w:sz w:val="18"/>
                <w:szCs w:val="18"/>
              </w:rPr>
            </w:pPr>
            <w:r>
              <w:rPr>
                <w:rFonts w:ascii="Calibri" w:hAnsi="Calibri" w:cs="Calibri"/>
                <w:color w:val="364049"/>
                <w:sz w:val="18"/>
                <w:szCs w:val="18"/>
              </w:rPr>
              <w:t>1</w:t>
            </w:r>
            <w:r w:rsidR="00EF3276">
              <w:rPr>
                <w:rFonts w:ascii="Calibri" w:hAnsi="Calibri" w:cs="Calibri"/>
                <w:color w:val="364049"/>
                <w:sz w:val="18"/>
                <w:szCs w:val="18"/>
              </w:rPr>
              <w:t>.</w:t>
            </w:r>
            <w:r>
              <w:rPr>
                <w:rFonts w:ascii="Calibri" w:hAnsi="Calibri" w:cs="Calibri"/>
                <w:color w:val="364049"/>
                <w:sz w:val="18"/>
                <w:szCs w:val="18"/>
              </w:rPr>
              <w:t>000</w:t>
            </w:r>
            <w:r w:rsidR="00EF3276">
              <w:rPr>
                <w:rFonts w:ascii="Calibri" w:hAnsi="Calibri" w:cs="Calibri"/>
                <w:color w:val="364049"/>
                <w:sz w:val="18"/>
                <w:szCs w:val="18"/>
              </w:rPr>
              <w:t>,00</w:t>
            </w:r>
          </w:p>
        </w:tc>
      </w:tr>
      <w:tr w:rsidR="00063163" w14:paraId="404CDEC4"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A6A6A6"/>
            <w:noWrap/>
            <w:hideMark/>
          </w:tcPr>
          <w:p w14:paraId="6D5C7162"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460</w:t>
            </w:r>
          </w:p>
        </w:tc>
        <w:tc>
          <w:tcPr>
            <w:tcW w:w="7007" w:type="dxa"/>
            <w:tcBorders>
              <w:top w:val="nil"/>
              <w:left w:val="nil"/>
              <w:bottom w:val="single" w:sz="4" w:space="0" w:color="A0A0A0"/>
              <w:right w:val="single" w:sz="4" w:space="0" w:color="A0A0A0"/>
            </w:tcBorders>
            <w:shd w:val="clear" w:color="000000" w:fill="AEAAAA"/>
            <w:noWrap/>
            <w:hideMark/>
          </w:tcPr>
          <w:p w14:paraId="0E76B5C4" w14:textId="77777777" w:rsidR="00063163" w:rsidRDefault="00063163">
            <w:pPr>
              <w:rPr>
                <w:rFonts w:ascii="Calibri" w:hAnsi="Calibri" w:cs="Calibri"/>
                <w:color w:val="364049"/>
                <w:sz w:val="18"/>
                <w:szCs w:val="18"/>
              </w:rPr>
            </w:pPr>
            <w:r>
              <w:rPr>
                <w:rFonts w:ascii="Calibri" w:hAnsi="Calibri" w:cs="Calibri"/>
                <w:color w:val="364049"/>
                <w:sz w:val="18"/>
                <w:szCs w:val="18"/>
              </w:rPr>
              <w:t>2.6.      Ostali rashodi</w:t>
            </w:r>
          </w:p>
        </w:tc>
        <w:tc>
          <w:tcPr>
            <w:tcW w:w="1320" w:type="dxa"/>
            <w:tcBorders>
              <w:top w:val="nil"/>
              <w:left w:val="nil"/>
              <w:bottom w:val="single" w:sz="4" w:space="0" w:color="A0A0A0"/>
              <w:right w:val="single" w:sz="4" w:space="0" w:color="A0A0A0"/>
            </w:tcBorders>
            <w:shd w:val="clear" w:color="000000" w:fill="AEAAAA"/>
            <w:noWrap/>
            <w:hideMark/>
          </w:tcPr>
          <w:p w14:paraId="7B27C8BC" w14:textId="5F5C51C3" w:rsidR="00063163" w:rsidRDefault="00063163">
            <w:pPr>
              <w:jc w:val="center"/>
              <w:rPr>
                <w:rFonts w:ascii="Calibri" w:hAnsi="Calibri" w:cs="Calibri"/>
                <w:color w:val="364049"/>
                <w:sz w:val="18"/>
                <w:szCs w:val="18"/>
              </w:rPr>
            </w:pPr>
            <w:r>
              <w:rPr>
                <w:rFonts w:ascii="Calibri" w:hAnsi="Calibri" w:cs="Calibri"/>
                <w:color w:val="364049"/>
                <w:sz w:val="18"/>
                <w:szCs w:val="18"/>
              </w:rPr>
              <w:t>40</w:t>
            </w:r>
            <w:r w:rsidR="00EF3276">
              <w:rPr>
                <w:rFonts w:ascii="Calibri" w:hAnsi="Calibri" w:cs="Calibri"/>
                <w:color w:val="364049"/>
                <w:sz w:val="18"/>
                <w:szCs w:val="18"/>
              </w:rPr>
              <w:t>.</w:t>
            </w:r>
            <w:r>
              <w:rPr>
                <w:rFonts w:ascii="Calibri" w:hAnsi="Calibri" w:cs="Calibri"/>
                <w:color w:val="364049"/>
                <w:sz w:val="18"/>
                <w:szCs w:val="18"/>
              </w:rPr>
              <w:t>000</w:t>
            </w:r>
            <w:r w:rsidR="00EF3276">
              <w:rPr>
                <w:rFonts w:ascii="Calibri" w:hAnsi="Calibri" w:cs="Calibri"/>
                <w:color w:val="364049"/>
                <w:sz w:val="18"/>
                <w:szCs w:val="18"/>
              </w:rPr>
              <w:t>,00</w:t>
            </w:r>
          </w:p>
        </w:tc>
      </w:tr>
      <w:tr w:rsidR="00063163" w14:paraId="64A08CC0"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600AD274"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470</w:t>
            </w:r>
          </w:p>
        </w:tc>
        <w:tc>
          <w:tcPr>
            <w:tcW w:w="7007" w:type="dxa"/>
            <w:tcBorders>
              <w:top w:val="nil"/>
              <w:left w:val="nil"/>
              <w:bottom w:val="single" w:sz="4" w:space="0" w:color="A0A0A0"/>
              <w:right w:val="single" w:sz="4" w:space="0" w:color="A0A0A0"/>
            </w:tcBorders>
            <w:shd w:val="clear" w:color="000000" w:fill="FFFFFF"/>
            <w:noWrap/>
            <w:hideMark/>
          </w:tcPr>
          <w:p w14:paraId="1A389066" w14:textId="77777777" w:rsidR="00063163" w:rsidRDefault="00063163">
            <w:pPr>
              <w:rPr>
                <w:rFonts w:ascii="Calibri" w:hAnsi="Calibri" w:cs="Calibri"/>
                <w:color w:val="364049"/>
                <w:sz w:val="18"/>
                <w:szCs w:val="18"/>
              </w:rPr>
            </w:pPr>
            <w:r>
              <w:rPr>
                <w:rFonts w:ascii="Calibri" w:hAnsi="Calibri" w:cs="Calibri"/>
                <w:color w:val="364049"/>
                <w:sz w:val="18"/>
                <w:szCs w:val="18"/>
              </w:rPr>
              <w:t>2.6.1.   Sponzorstva</w:t>
            </w:r>
          </w:p>
        </w:tc>
        <w:tc>
          <w:tcPr>
            <w:tcW w:w="1320" w:type="dxa"/>
            <w:tcBorders>
              <w:top w:val="nil"/>
              <w:left w:val="nil"/>
              <w:bottom w:val="single" w:sz="4" w:space="0" w:color="A0A0A0"/>
              <w:right w:val="single" w:sz="4" w:space="0" w:color="A0A0A0"/>
            </w:tcBorders>
            <w:shd w:val="clear" w:color="000000" w:fill="FFFFFF"/>
            <w:noWrap/>
            <w:hideMark/>
          </w:tcPr>
          <w:p w14:paraId="07084DE2" w14:textId="6D7A3D7A" w:rsidR="00063163" w:rsidRDefault="00063163">
            <w:pPr>
              <w:jc w:val="center"/>
              <w:rPr>
                <w:rFonts w:ascii="Calibri" w:hAnsi="Calibri" w:cs="Calibri"/>
                <w:color w:val="364049"/>
                <w:sz w:val="18"/>
                <w:szCs w:val="18"/>
              </w:rPr>
            </w:pPr>
            <w:r>
              <w:rPr>
                <w:rFonts w:ascii="Calibri" w:hAnsi="Calibri" w:cs="Calibri"/>
                <w:color w:val="364049"/>
                <w:sz w:val="18"/>
                <w:szCs w:val="18"/>
              </w:rPr>
              <w:t>25</w:t>
            </w:r>
            <w:r w:rsidR="00EF3276">
              <w:rPr>
                <w:rFonts w:ascii="Calibri" w:hAnsi="Calibri" w:cs="Calibri"/>
                <w:color w:val="364049"/>
                <w:sz w:val="18"/>
                <w:szCs w:val="18"/>
              </w:rPr>
              <w:t>.</w:t>
            </w:r>
            <w:r>
              <w:rPr>
                <w:rFonts w:ascii="Calibri" w:hAnsi="Calibri" w:cs="Calibri"/>
                <w:color w:val="364049"/>
                <w:sz w:val="18"/>
                <w:szCs w:val="18"/>
              </w:rPr>
              <w:t>000</w:t>
            </w:r>
            <w:r w:rsidR="00EF3276">
              <w:rPr>
                <w:rFonts w:ascii="Calibri" w:hAnsi="Calibri" w:cs="Calibri"/>
                <w:color w:val="364049"/>
                <w:sz w:val="18"/>
                <w:szCs w:val="18"/>
              </w:rPr>
              <w:t>,00</w:t>
            </w:r>
          </w:p>
        </w:tc>
      </w:tr>
      <w:tr w:rsidR="00063163" w14:paraId="1BE522F8"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7E447DAF"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480</w:t>
            </w:r>
          </w:p>
        </w:tc>
        <w:tc>
          <w:tcPr>
            <w:tcW w:w="7007" w:type="dxa"/>
            <w:tcBorders>
              <w:top w:val="nil"/>
              <w:left w:val="nil"/>
              <w:bottom w:val="single" w:sz="4" w:space="0" w:color="A0A0A0"/>
              <w:right w:val="single" w:sz="4" w:space="0" w:color="A0A0A0"/>
            </w:tcBorders>
            <w:shd w:val="clear" w:color="000000" w:fill="FFFFFF"/>
            <w:noWrap/>
            <w:hideMark/>
          </w:tcPr>
          <w:p w14:paraId="24969DE8" w14:textId="77777777" w:rsidR="00063163" w:rsidRDefault="00063163">
            <w:pPr>
              <w:rPr>
                <w:rFonts w:ascii="Calibri" w:hAnsi="Calibri" w:cs="Calibri"/>
                <w:color w:val="364049"/>
                <w:sz w:val="18"/>
                <w:szCs w:val="18"/>
              </w:rPr>
            </w:pPr>
            <w:r>
              <w:rPr>
                <w:rFonts w:ascii="Calibri" w:hAnsi="Calibri" w:cs="Calibri"/>
                <w:color w:val="364049"/>
                <w:sz w:val="18"/>
                <w:szCs w:val="18"/>
              </w:rPr>
              <w:t>2.6.2.   Donacije</w:t>
            </w:r>
          </w:p>
        </w:tc>
        <w:tc>
          <w:tcPr>
            <w:tcW w:w="1320" w:type="dxa"/>
            <w:tcBorders>
              <w:top w:val="nil"/>
              <w:left w:val="nil"/>
              <w:bottom w:val="single" w:sz="4" w:space="0" w:color="A0A0A0"/>
              <w:right w:val="single" w:sz="4" w:space="0" w:color="A0A0A0"/>
            </w:tcBorders>
            <w:shd w:val="clear" w:color="000000" w:fill="FFFFFF"/>
            <w:noWrap/>
            <w:hideMark/>
          </w:tcPr>
          <w:p w14:paraId="4134A685" w14:textId="648FDD64" w:rsidR="00063163" w:rsidRDefault="00063163">
            <w:pPr>
              <w:jc w:val="center"/>
              <w:rPr>
                <w:rFonts w:ascii="Calibri" w:hAnsi="Calibri" w:cs="Calibri"/>
                <w:color w:val="364049"/>
                <w:sz w:val="18"/>
                <w:szCs w:val="18"/>
              </w:rPr>
            </w:pPr>
            <w:r>
              <w:rPr>
                <w:rFonts w:ascii="Calibri" w:hAnsi="Calibri" w:cs="Calibri"/>
                <w:color w:val="364049"/>
                <w:sz w:val="18"/>
                <w:szCs w:val="18"/>
              </w:rPr>
              <w:t>15</w:t>
            </w:r>
            <w:r w:rsidR="00EF3276">
              <w:rPr>
                <w:rFonts w:ascii="Calibri" w:hAnsi="Calibri" w:cs="Calibri"/>
                <w:color w:val="364049"/>
                <w:sz w:val="18"/>
                <w:szCs w:val="18"/>
              </w:rPr>
              <w:t>.</w:t>
            </w:r>
            <w:r>
              <w:rPr>
                <w:rFonts w:ascii="Calibri" w:hAnsi="Calibri" w:cs="Calibri"/>
                <w:color w:val="364049"/>
                <w:sz w:val="18"/>
                <w:szCs w:val="18"/>
              </w:rPr>
              <w:t>000</w:t>
            </w:r>
            <w:r w:rsidR="00EF3276">
              <w:rPr>
                <w:rFonts w:ascii="Calibri" w:hAnsi="Calibri" w:cs="Calibri"/>
                <w:color w:val="364049"/>
                <w:sz w:val="18"/>
                <w:szCs w:val="18"/>
              </w:rPr>
              <w:t>,00</w:t>
            </w:r>
          </w:p>
        </w:tc>
      </w:tr>
      <w:tr w:rsidR="00063163" w14:paraId="18B55974"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A9D08E"/>
            <w:noWrap/>
            <w:hideMark/>
          </w:tcPr>
          <w:p w14:paraId="407B5817"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490</w:t>
            </w:r>
          </w:p>
        </w:tc>
        <w:tc>
          <w:tcPr>
            <w:tcW w:w="7007" w:type="dxa"/>
            <w:tcBorders>
              <w:top w:val="nil"/>
              <w:left w:val="nil"/>
              <w:bottom w:val="single" w:sz="4" w:space="0" w:color="A0A0A0"/>
              <w:right w:val="single" w:sz="4" w:space="0" w:color="A0A0A0"/>
            </w:tcBorders>
            <w:shd w:val="clear" w:color="000000" w:fill="A9D08E"/>
            <w:noWrap/>
            <w:hideMark/>
          </w:tcPr>
          <w:p w14:paraId="56EF3595" w14:textId="77777777" w:rsidR="00063163" w:rsidRDefault="00063163">
            <w:pPr>
              <w:rPr>
                <w:rFonts w:ascii="Calibri" w:hAnsi="Calibri" w:cs="Calibri"/>
                <w:color w:val="364049"/>
                <w:sz w:val="18"/>
                <w:szCs w:val="18"/>
              </w:rPr>
            </w:pPr>
            <w:r>
              <w:rPr>
                <w:rFonts w:ascii="Calibri" w:hAnsi="Calibri" w:cs="Calibri"/>
                <w:color w:val="364049"/>
                <w:sz w:val="18"/>
                <w:szCs w:val="18"/>
              </w:rPr>
              <w:t>3.         OBAVEZE IZ PRETHODNE POSLOVNE GODINE</w:t>
            </w:r>
          </w:p>
        </w:tc>
        <w:tc>
          <w:tcPr>
            <w:tcW w:w="1320" w:type="dxa"/>
            <w:tcBorders>
              <w:top w:val="nil"/>
              <w:left w:val="nil"/>
              <w:bottom w:val="single" w:sz="4" w:space="0" w:color="A0A0A0"/>
              <w:right w:val="single" w:sz="4" w:space="0" w:color="A0A0A0"/>
            </w:tcBorders>
            <w:shd w:val="clear" w:color="000000" w:fill="A9D08E"/>
            <w:noWrap/>
            <w:hideMark/>
          </w:tcPr>
          <w:p w14:paraId="31E77D0E" w14:textId="684A4372" w:rsidR="00063163" w:rsidRDefault="00063163">
            <w:pPr>
              <w:jc w:val="center"/>
              <w:rPr>
                <w:rFonts w:ascii="Calibri" w:hAnsi="Calibri" w:cs="Calibri"/>
                <w:color w:val="364049"/>
                <w:sz w:val="18"/>
                <w:szCs w:val="18"/>
              </w:rPr>
            </w:pPr>
            <w:r>
              <w:rPr>
                <w:rFonts w:ascii="Calibri" w:hAnsi="Calibri" w:cs="Calibri"/>
                <w:color w:val="364049"/>
                <w:sz w:val="18"/>
                <w:szCs w:val="18"/>
              </w:rPr>
              <w:t>726</w:t>
            </w:r>
            <w:r w:rsidR="00EF3276">
              <w:rPr>
                <w:rFonts w:ascii="Calibri" w:hAnsi="Calibri" w:cs="Calibri"/>
                <w:color w:val="364049"/>
                <w:sz w:val="18"/>
                <w:szCs w:val="18"/>
              </w:rPr>
              <w:t>.</w:t>
            </w:r>
            <w:r>
              <w:rPr>
                <w:rFonts w:ascii="Calibri" w:hAnsi="Calibri" w:cs="Calibri"/>
                <w:color w:val="364049"/>
                <w:sz w:val="18"/>
                <w:szCs w:val="18"/>
              </w:rPr>
              <w:t>202</w:t>
            </w:r>
            <w:r w:rsidR="00EF3276">
              <w:rPr>
                <w:rFonts w:ascii="Calibri" w:hAnsi="Calibri" w:cs="Calibri"/>
                <w:color w:val="364049"/>
                <w:sz w:val="18"/>
                <w:szCs w:val="18"/>
              </w:rPr>
              <w:t>,00</w:t>
            </w:r>
          </w:p>
        </w:tc>
      </w:tr>
      <w:tr w:rsidR="00063163" w14:paraId="15C50166"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0035890B"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500</w:t>
            </w:r>
          </w:p>
        </w:tc>
        <w:tc>
          <w:tcPr>
            <w:tcW w:w="7007" w:type="dxa"/>
            <w:tcBorders>
              <w:top w:val="nil"/>
              <w:left w:val="nil"/>
              <w:bottom w:val="single" w:sz="4" w:space="0" w:color="A0A0A0"/>
              <w:right w:val="single" w:sz="4" w:space="0" w:color="A0A0A0"/>
            </w:tcBorders>
            <w:shd w:val="clear" w:color="000000" w:fill="FFFFFF"/>
            <w:noWrap/>
            <w:hideMark/>
          </w:tcPr>
          <w:p w14:paraId="20D70C91" w14:textId="77777777" w:rsidR="00063163" w:rsidRDefault="00063163">
            <w:pPr>
              <w:rPr>
                <w:rFonts w:ascii="Calibri" w:hAnsi="Calibri" w:cs="Calibri"/>
                <w:color w:val="364049"/>
                <w:sz w:val="18"/>
                <w:szCs w:val="18"/>
              </w:rPr>
            </w:pPr>
            <w:r>
              <w:rPr>
                <w:rFonts w:ascii="Calibri" w:hAnsi="Calibri" w:cs="Calibri"/>
                <w:color w:val="364049"/>
                <w:sz w:val="18"/>
                <w:szCs w:val="18"/>
              </w:rPr>
              <w:t>3.1.      Ostale obaveze iz poslovanja</w:t>
            </w:r>
          </w:p>
        </w:tc>
        <w:tc>
          <w:tcPr>
            <w:tcW w:w="1320" w:type="dxa"/>
            <w:tcBorders>
              <w:top w:val="nil"/>
              <w:left w:val="nil"/>
              <w:bottom w:val="single" w:sz="4" w:space="0" w:color="A0A0A0"/>
              <w:right w:val="single" w:sz="4" w:space="0" w:color="A0A0A0"/>
            </w:tcBorders>
            <w:shd w:val="clear" w:color="000000" w:fill="FFFFFF"/>
            <w:noWrap/>
            <w:hideMark/>
          </w:tcPr>
          <w:p w14:paraId="7509D889" w14:textId="58ABC755" w:rsidR="00063163" w:rsidRDefault="00063163">
            <w:pPr>
              <w:jc w:val="center"/>
              <w:rPr>
                <w:rFonts w:ascii="Calibri" w:hAnsi="Calibri" w:cs="Calibri"/>
                <w:color w:val="364049"/>
                <w:sz w:val="18"/>
                <w:szCs w:val="18"/>
              </w:rPr>
            </w:pPr>
            <w:r>
              <w:rPr>
                <w:rFonts w:ascii="Calibri" w:hAnsi="Calibri" w:cs="Calibri"/>
                <w:color w:val="364049"/>
                <w:sz w:val="18"/>
                <w:szCs w:val="18"/>
              </w:rPr>
              <w:t>5</w:t>
            </w:r>
            <w:r w:rsidR="00EF3276">
              <w:rPr>
                <w:rFonts w:ascii="Calibri" w:hAnsi="Calibri" w:cs="Calibri"/>
                <w:color w:val="364049"/>
                <w:sz w:val="18"/>
                <w:szCs w:val="18"/>
              </w:rPr>
              <w:t>.</w:t>
            </w:r>
            <w:r>
              <w:rPr>
                <w:rFonts w:ascii="Calibri" w:hAnsi="Calibri" w:cs="Calibri"/>
                <w:color w:val="364049"/>
                <w:sz w:val="18"/>
                <w:szCs w:val="18"/>
              </w:rPr>
              <w:t>133</w:t>
            </w:r>
            <w:r w:rsidR="00EF3276">
              <w:rPr>
                <w:rFonts w:ascii="Calibri" w:hAnsi="Calibri" w:cs="Calibri"/>
                <w:color w:val="364049"/>
                <w:sz w:val="18"/>
                <w:szCs w:val="18"/>
              </w:rPr>
              <w:t>,00</w:t>
            </w:r>
          </w:p>
        </w:tc>
      </w:tr>
      <w:tr w:rsidR="00063163" w14:paraId="014F1467"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41D362D2"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510</w:t>
            </w:r>
          </w:p>
        </w:tc>
        <w:tc>
          <w:tcPr>
            <w:tcW w:w="7007" w:type="dxa"/>
            <w:tcBorders>
              <w:top w:val="nil"/>
              <w:left w:val="nil"/>
              <w:bottom w:val="single" w:sz="4" w:space="0" w:color="A0A0A0"/>
              <w:right w:val="single" w:sz="4" w:space="0" w:color="A0A0A0"/>
            </w:tcBorders>
            <w:shd w:val="clear" w:color="000000" w:fill="FFFFFF"/>
            <w:noWrap/>
            <w:hideMark/>
          </w:tcPr>
          <w:p w14:paraId="6582F80A" w14:textId="77777777" w:rsidR="00063163" w:rsidRDefault="00063163">
            <w:pPr>
              <w:rPr>
                <w:rFonts w:ascii="Calibri" w:hAnsi="Calibri" w:cs="Calibri"/>
                <w:color w:val="364049"/>
                <w:sz w:val="18"/>
                <w:szCs w:val="18"/>
              </w:rPr>
            </w:pPr>
            <w:r>
              <w:rPr>
                <w:rFonts w:ascii="Calibri" w:hAnsi="Calibri" w:cs="Calibri"/>
                <w:color w:val="364049"/>
                <w:sz w:val="18"/>
                <w:szCs w:val="18"/>
              </w:rPr>
              <w:t>3.2.      Rezervisana sredstva povodom sudskih sporova</w:t>
            </w:r>
          </w:p>
        </w:tc>
        <w:tc>
          <w:tcPr>
            <w:tcW w:w="1320" w:type="dxa"/>
            <w:tcBorders>
              <w:top w:val="nil"/>
              <w:left w:val="nil"/>
              <w:bottom w:val="single" w:sz="4" w:space="0" w:color="A0A0A0"/>
              <w:right w:val="single" w:sz="4" w:space="0" w:color="A0A0A0"/>
            </w:tcBorders>
            <w:shd w:val="clear" w:color="000000" w:fill="FFFFFF"/>
            <w:noWrap/>
            <w:hideMark/>
          </w:tcPr>
          <w:p w14:paraId="6C728B18" w14:textId="079A1015" w:rsidR="00063163" w:rsidRDefault="00063163">
            <w:pPr>
              <w:jc w:val="center"/>
              <w:rPr>
                <w:rFonts w:ascii="Calibri" w:hAnsi="Calibri" w:cs="Calibri"/>
                <w:color w:val="364049"/>
                <w:sz w:val="18"/>
                <w:szCs w:val="18"/>
              </w:rPr>
            </w:pPr>
            <w:r>
              <w:rPr>
                <w:rFonts w:ascii="Calibri" w:hAnsi="Calibri" w:cs="Calibri"/>
                <w:color w:val="364049"/>
                <w:sz w:val="18"/>
                <w:szCs w:val="18"/>
              </w:rPr>
              <w:t>71</w:t>
            </w:r>
            <w:r w:rsidR="00EF3276">
              <w:rPr>
                <w:rFonts w:ascii="Calibri" w:hAnsi="Calibri" w:cs="Calibri"/>
                <w:color w:val="364049"/>
                <w:sz w:val="18"/>
                <w:szCs w:val="18"/>
              </w:rPr>
              <w:t>.</w:t>
            </w:r>
            <w:r>
              <w:rPr>
                <w:rFonts w:ascii="Calibri" w:hAnsi="Calibri" w:cs="Calibri"/>
                <w:color w:val="364049"/>
                <w:sz w:val="18"/>
                <w:szCs w:val="18"/>
              </w:rPr>
              <w:t>069</w:t>
            </w:r>
            <w:r w:rsidR="00EF3276">
              <w:rPr>
                <w:rFonts w:ascii="Calibri" w:hAnsi="Calibri" w:cs="Calibri"/>
                <w:color w:val="364049"/>
                <w:sz w:val="18"/>
                <w:szCs w:val="18"/>
              </w:rPr>
              <w:t>,00</w:t>
            </w:r>
          </w:p>
        </w:tc>
      </w:tr>
      <w:tr w:rsidR="00063163" w14:paraId="62370C63"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51CE707C"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520</w:t>
            </w:r>
          </w:p>
        </w:tc>
        <w:tc>
          <w:tcPr>
            <w:tcW w:w="7007" w:type="dxa"/>
            <w:tcBorders>
              <w:top w:val="nil"/>
              <w:left w:val="nil"/>
              <w:bottom w:val="single" w:sz="4" w:space="0" w:color="A0A0A0"/>
              <w:right w:val="single" w:sz="4" w:space="0" w:color="A0A0A0"/>
            </w:tcBorders>
            <w:shd w:val="clear" w:color="000000" w:fill="FFFFFF"/>
            <w:noWrap/>
            <w:hideMark/>
          </w:tcPr>
          <w:p w14:paraId="77BE204F" w14:textId="42499AE6" w:rsidR="00063163" w:rsidRDefault="00063163">
            <w:pPr>
              <w:rPr>
                <w:rFonts w:ascii="Calibri" w:hAnsi="Calibri" w:cs="Calibri"/>
                <w:color w:val="364049"/>
                <w:sz w:val="18"/>
                <w:szCs w:val="18"/>
              </w:rPr>
            </w:pPr>
            <w:r>
              <w:rPr>
                <w:rFonts w:ascii="Calibri" w:hAnsi="Calibri" w:cs="Calibri"/>
                <w:color w:val="364049"/>
                <w:sz w:val="18"/>
                <w:szCs w:val="18"/>
              </w:rPr>
              <w:t>3.3.      Rezervisa</w:t>
            </w:r>
            <w:r w:rsidR="00BB7E06">
              <w:rPr>
                <w:rFonts w:ascii="Calibri" w:hAnsi="Calibri" w:cs="Calibri"/>
                <w:color w:val="364049"/>
                <w:sz w:val="18"/>
                <w:szCs w:val="18"/>
              </w:rPr>
              <w:t>n</w:t>
            </w:r>
            <w:r>
              <w:rPr>
                <w:rFonts w:ascii="Calibri" w:hAnsi="Calibri" w:cs="Calibri"/>
                <w:color w:val="364049"/>
                <w:sz w:val="18"/>
                <w:szCs w:val="18"/>
              </w:rPr>
              <w:t>a sredstava po osnovu prigovora Korisnika</w:t>
            </w:r>
          </w:p>
        </w:tc>
        <w:tc>
          <w:tcPr>
            <w:tcW w:w="1320" w:type="dxa"/>
            <w:tcBorders>
              <w:top w:val="nil"/>
              <w:left w:val="nil"/>
              <w:bottom w:val="single" w:sz="4" w:space="0" w:color="A0A0A0"/>
              <w:right w:val="single" w:sz="4" w:space="0" w:color="A0A0A0"/>
            </w:tcBorders>
            <w:shd w:val="clear" w:color="000000" w:fill="FFFFFF"/>
            <w:noWrap/>
            <w:hideMark/>
          </w:tcPr>
          <w:p w14:paraId="53EA6525" w14:textId="6585D1ED" w:rsidR="00063163" w:rsidRDefault="00063163">
            <w:pPr>
              <w:jc w:val="center"/>
              <w:rPr>
                <w:rFonts w:ascii="Calibri" w:hAnsi="Calibri" w:cs="Calibri"/>
                <w:color w:val="364049"/>
                <w:sz w:val="18"/>
                <w:szCs w:val="18"/>
              </w:rPr>
            </w:pPr>
            <w:r>
              <w:rPr>
                <w:rFonts w:ascii="Calibri" w:hAnsi="Calibri" w:cs="Calibri"/>
                <w:color w:val="364049"/>
                <w:sz w:val="18"/>
                <w:szCs w:val="18"/>
              </w:rPr>
              <w:t>100</w:t>
            </w:r>
            <w:r w:rsidR="00EF3276">
              <w:rPr>
                <w:rFonts w:ascii="Calibri" w:hAnsi="Calibri" w:cs="Calibri"/>
                <w:color w:val="364049"/>
                <w:sz w:val="18"/>
                <w:szCs w:val="18"/>
              </w:rPr>
              <w:t>.</w:t>
            </w:r>
            <w:r>
              <w:rPr>
                <w:rFonts w:ascii="Calibri" w:hAnsi="Calibri" w:cs="Calibri"/>
                <w:color w:val="364049"/>
                <w:sz w:val="18"/>
                <w:szCs w:val="18"/>
              </w:rPr>
              <w:t>000</w:t>
            </w:r>
            <w:r w:rsidR="00EF3276">
              <w:rPr>
                <w:rFonts w:ascii="Calibri" w:hAnsi="Calibri" w:cs="Calibri"/>
                <w:color w:val="364049"/>
                <w:sz w:val="18"/>
                <w:szCs w:val="18"/>
              </w:rPr>
              <w:t>,00</w:t>
            </w:r>
          </w:p>
        </w:tc>
      </w:tr>
      <w:tr w:rsidR="00063163" w14:paraId="3B584AA5"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74E32AE5"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530</w:t>
            </w:r>
          </w:p>
        </w:tc>
        <w:tc>
          <w:tcPr>
            <w:tcW w:w="7007" w:type="dxa"/>
            <w:tcBorders>
              <w:top w:val="nil"/>
              <w:left w:val="nil"/>
              <w:bottom w:val="single" w:sz="4" w:space="0" w:color="A0A0A0"/>
              <w:right w:val="single" w:sz="4" w:space="0" w:color="A0A0A0"/>
            </w:tcBorders>
            <w:shd w:val="clear" w:color="000000" w:fill="FFFFFF"/>
            <w:noWrap/>
            <w:hideMark/>
          </w:tcPr>
          <w:p w14:paraId="49F199D6" w14:textId="77777777" w:rsidR="00063163" w:rsidRDefault="00063163">
            <w:pPr>
              <w:rPr>
                <w:rFonts w:ascii="Calibri" w:hAnsi="Calibri" w:cs="Calibri"/>
                <w:color w:val="364049"/>
                <w:sz w:val="18"/>
                <w:szCs w:val="18"/>
              </w:rPr>
            </w:pPr>
            <w:r>
              <w:rPr>
                <w:rFonts w:ascii="Calibri" w:hAnsi="Calibri" w:cs="Calibri"/>
                <w:color w:val="364049"/>
                <w:sz w:val="18"/>
                <w:szCs w:val="18"/>
              </w:rPr>
              <w:t>3.4.      Obaveze za porez na dobit za 2024. godinu</w:t>
            </w:r>
          </w:p>
        </w:tc>
        <w:tc>
          <w:tcPr>
            <w:tcW w:w="1320" w:type="dxa"/>
            <w:tcBorders>
              <w:top w:val="nil"/>
              <w:left w:val="nil"/>
              <w:bottom w:val="single" w:sz="4" w:space="0" w:color="A0A0A0"/>
              <w:right w:val="single" w:sz="4" w:space="0" w:color="A0A0A0"/>
            </w:tcBorders>
            <w:shd w:val="clear" w:color="000000" w:fill="FFFFFF"/>
            <w:noWrap/>
            <w:hideMark/>
          </w:tcPr>
          <w:p w14:paraId="54A79051" w14:textId="5A40D830" w:rsidR="00063163" w:rsidRDefault="00063163">
            <w:pPr>
              <w:jc w:val="center"/>
              <w:rPr>
                <w:rFonts w:ascii="Calibri" w:hAnsi="Calibri" w:cs="Calibri"/>
                <w:color w:val="364049"/>
                <w:sz w:val="18"/>
                <w:szCs w:val="18"/>
              </w:rPr>
            </w:pPr>
            <w:r>
              <w:rPr>
                <w:rFonts w:ascii="Calibri" w:hAnsi="Calibri" w:cs="Calibri"/>
                <w:color w:val="364049"/>
                <w:sz w:val="18"/>
                <w:szCs w:val="18"/>
              </w:rPr>
              <w:t>550</w:t>
            </w:r>
            <w:r w:rsidR="008A7C12">
              <w:rPr>
                <w:rFonts w:ascii="Calibri" w:hAnsi="Calibri" w:cs="Calibri"/>
                <w:color w:val="364049"/>
                <w:sz w:val="18"/>
                <w:szCs w:val="18"/>
              </w:rPr>
              <w:t>.</w:t>
            </w:r>
            <w:r>
              <w:rPr>
                <w:rFonts w:ascii="Calibri" w:hAnsi="Calibri" w:cs="Calibri"/>
                <w:color w:val="364049"/>
                <w:sz w:val="18"/>
                <w:szCs w:val="18"/>
              </w:rPr>
              <w:t>000</w:t>
            </w:r>
            <w:r w:rsidR="008A7C12">
              <w:rPr>
                <w:rFonts w:ascii="Calibri" w:hAnsi="Calibri" w:cs="Calibri"/>
                <w:color w:val="364049"/>
                <w:sz w:val="18"/>
                <w:szCs w:val="18"/>
              </w:rPr>
              <w:t>,00</w:t>
            </w:r>
          </w:p>
        </w:tc>
      </w:tr>
      <w:tr w:rsidR="00063163" w14:paraId="5D044D4C"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D966"/>
            <w:noWrap/>
            <w:hideMark/>
          </w:tcPr>
          <w:p w14:paraId="45345FE7"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lastRenderedPageBreak/>
              <w:t>540</w:t>
            </w:r>
          </w:p>
        </w:tc>
        <w:tc>
          <w:tcPr>
            <w:tcW w:w="7007" w:type="dxa"/>
            <w:tcBorders>
              <w:top w:val="nil"/>
              <w:left w:val="nil"/>
              <w:bottom w:val="single" w:sz="4" w:space="0" w:color="A0A0A0"/>
              <w:right w:val="single" w:sz="4" w:space="0" w:color="A0A0A0"/>
            </w:tcBorders>
            <w:shd w:val="clear" w:color="000000" w:fill="FFD966"/>
            <w:noWrap/>
            <w:hideMark/>
          </w:tcPr>
          <w:p w14:paraId="054FF118" w14:textId="77777777" w:rsidR="00063163" w:rsidRDefault="00063163">
            <w:pPr>
              <w:rPr>
                <w:rFonts w:ascii="Calibri" w:hAnsi="Calibri" w:cs="Calibri"/>
                <w:color w:val="364049"/>
                <w:sz w:val="18"/>
                <w:szCs w:val="18"/>
              </w:rPr>
            </w:pPr>
            <w:r>
              <w:rPr>
                <w:rFonts w:ascii="Calibri" w:hAnsi="Calibri" w:cs="Calibri"/>
                <w:color w:val="364049"/>
                <w:sz w:val="18"/>
                <w:szCs w:val="18"/>
              </w:rPr>
              <w:t xml:space="preserve">            UKUPNI RASHODI</w:t>
            </w:r>
          </w:p>
        </w:tc>
        <w:tc>
          <w:tcPr>
            <w:tcW w:w="1320" w:type="dxa"/>
            <w:tcBorders>
              <w:top w:val="nil"/>
              <w:left w:val="nil"/>
              <w:bottom w:val="single" w:sz="4" w:space="0" w:color="A0A0A0"/>
              <w:right w:val="single" w:sz="4" w:space="0" w:color="A0A0A0"/>
            </w:tcBorders>
            <w:shd w:val="clear" w:color="000000" w:fill="FFD966"/>
            <w:noWrap/>
            <w:hideMark/>
          </w:tcPr>
          <w:p w14:paraId="66E0E6D4" w14:textId="4F82AB0B" w:rsidR="00063163" w:rsidRDefault="00063163">
            <w:pPr>
              <w:jc w:val="center"/>
              <w:rPr>
                <w:rFonts w:ascii="Calibri" w:hAnsi="Calibri" w:cs="Calibri"/>
                <w:color w:val="364049"/>
                <w:sz w:val="18"/>
                <w:szCs w:val="18"/>
              </w:rPr>
            </w:pPr>
            <w:r>
              <w:rPr>
                <w:rFonts w:ascii="Calibri" w:hAnsi="Calibri" w:cs="Calibri"/>
                <w:color w:val="364049"/>
                <w:sz w:val="18"/>
                <w:szCs w:val="18"/>
              </w:rPr>
              <w:t>38</w:t>
            </w:r>
            <w:r w:rsidR="008A7C12">
              <w:rPr>
                <w:rFonts w:ascii="Calibri" w:hAnsi="Calibri" w:cs="Calibri"/>
                <w:color w:val="364049"/>
                <w:sz w:val="18"/>
                <w:szCs w:val="18"/>
              </w:rPr>
              <w:t>.</w:t>
            </w:r>
            <w:r w:rsidR="00DF7469">
              <w:rPr>
                <w:rFonts w:ascii="Calibri" w:hAnsi="Calibri" w:cs="Calibri"/>
                <w:color w:val="364049"/>
                <w:sz w:val="18"/>
                <w:szCs w:val="18"/>
              </w:rPr>
              <w:t>282</w:t>
            </w:r>
            <w:r>
              <w:rPr>
                <w:rFonts w:ascii="Calibri" w:hAnsi="Calibri" w:cs="Calibri"/>
                <w:color w:val="364049"/>
                <w:sz w:val="18"/>
                <w:szCs w:val="18"/>
              </w:rPr>
              <w:t>,8</w:t>
            </w:r>
            <w:r w:rsidR="00DF7469">
              <w:rPr>
                <w:rFonts w:ascii="Calibri" w:hAnsi="Calibri" w:cs="Calibri"/>
                <w:color w:val="364049"/>
                <w:sz w:val="18"/>
                <w:szCs w:val="18"/>
              </w:rPr>
              <w:t>1</w:t>
            </w:r>
            <w:r>
              <w:rPr>
                <w:rFonts w:ascii="Calibri" w:hAnsi="Calibri" w:cs="Calibri"/>
                <w:color w:val="364049"/>
                <w:sz w:val="18"/>
                <w:szCs w:val="18"/>
              </w:rPr>
              <w:t>0</w:t>
            </w:r>
          </w:p>
        </w:tc>
      </w:tr>
      <w:tr w:rsidR="00063163" w14:paraId="05B55145"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0916473C"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550</w:t>
            </w:r>
          </w:p>
        </w:tc>
        <w:tc>
          <w:tcPr>
            <w:tcW w:w="7007" w:type="dxa"/>
            <w:tcBorders>
              <w:top w:val="nil"/>
              <w:left w:val="nil"/>
              <w:bottom w:val="single" w:sz="4" w:space="0" w:color="A0A0A0"/>
              <w:right w:val="single" w:sz="4" w:space="0" w:color="A0A0A0"/>
            </w:tcBorders>
            <w:shd w:val="clear" w:color="000000" w:fill="FFFFFF"/>
            <w:noWrap/>
            <w:hideMark/>
          </w:tcPr>
          <w:p w14:paraId="36B78E7B" w14:textId="77777777" w:rsidR="00063163" w:rsidRDefault="00063163">
            <w:pPr>
              <w:rPr>
                <w:rFonts w:ascii="Calibri" w:hAnsi="Calibri" w:cs="Calibri"/>
                <w:color w:val="364049"/>
                <w:sz w:val="18"/>
                <w:szCs w:val="18"/>
              </w:rPr>
            </w:pPr>
            <w:r>
              <w:rPr>
                <w:rFonts w:ascii="Calibri" w:hAnsi="Calibri" w:cs="Calibri"/>
                <w:color w:val="364049"/>
                <w:sz w:val="18"/>
                <w:szCs w:val="18"/>
              </w:rPr>
              <w:t>4.         OBAVEZA ZA POREZ NA DOBIT</w:t>
            </w:r>
          </w:p>
        </w:tc>
        <w:tc>
          <w:tcPr>
            <w:tcW w:w="1320" w:type="dxa"/>
            <w:tcBorders>
              <w:top w:val="nil"/>
              <w:left w:val="nil"/>
              <w:bottom w:val="single" w:sz="4" w:space="0" w:color="A0A0A0"/>
              <w:right w:val="single" w:sz="4" w:space="0" w:color="A0A0A0"/>
            </w:tcBorders>
            <w:shd w:val="clear" w:color="000000" w:fill="FFFFFF"/>
            <w:noWrap/>
            <w:hideMark/>
          </w:tcPr>
          <w:p w14:paraId="3AE1DBAD" w14:textId="3DB2CBE1" w:rsidR="00063163" w:rsidRDefault="00063163">
            <w:pPr>
              <w:jc w:val="center"/>
              <w:rPr>
                <w:rFonts w:ascii="Calibri" w:hAnsi="Calibri" w:cs="Calibri"/>
                <w:color w:val="364049"/>
                <w:sz w:val="18"/>
                <w:szCs w:val="18"/>
              </w:rPr>
            </w:pPr>
            <w:r>
              <w:rPr>
                <w:rFonts w:ascii="Calibri" w:hAnsi="Calibri" w:cs="Calibri"/>
                <w:color w:val="364049"/>
                <w:sz w:val="18"/>
                <w:szCs w:val="18"/>
              </w:rPr>
              <w:t>1,095</w:t>
            </w:r>
            <w:r w:rsidR="008A7C12">
              <w:rPr>
                <w:rFonts w:ascii="Calibri" w:hAnsi="Calibri" w:cs="Calibri"/>
                <w:color w:val="364049"/>
                <w:sz w:val="18"/>
                <w:szCs w:val="18"/>
              </w:rPr>
              <w:t>.</w:t>
            </w:r>
            <w:r>
              <w:rPr>
                <w:rFonts w:ascii="Calibri" w:hAnsi="Calibri" w:cs="Calibri"/>
                <w:color w:val="364049"/>
                <w:sz w:val="18"/>
                <w:szCs w:val="18"/>
              </w:rPr>
              <w:t>000</w:t>
            </w:r>
            <w:r w:rsidR="008A7C12">
              <w:rPr>
                <w:rFonts w:ascii="Calibri" w:hAnsi="Calibri" w:cs="Calibri"/>
                <w:color w:val="364049"/>
                <w:sz w:val="18"/>
                <w:szCs w:val="18"/>
              </w:rPr>
              <w:t>,00</w:t>
            </w:r>
          </w:p>
        </w:tc>
      </w:tr>
      <w:tr w:rsidR="00063163" w14:paraId="45C7709D" w14:textId="77777777" w:rsidTr="00063163">
        <w:trPr>
          <w:trHeight w:val="290"/>
        </w:trPr>
        <w:tc>
          <w:tcPr>
            <w:tcW w:w="573" w:type="dxa"/>
            <w:tcBorders>
              <w:top w:val="nil"/>
              <w:left w:val="single" w:sz="4" w:space="0" w:color="A0A0A0"/>
              <w:bottom w:val="single" w:sz="4" w:space="0" w:color="A0A0A0"/>
              <w:right w:val="single" w:sz="4" w:space="0" w:color="A0A0A0"/>
            </w:tcBorders>
            <w:shd w:val="clear" w:color="000000" w:fill="FFFFFF"/>
            <w:noWrap/>
            <w:hideMark/>
          </w:tcPr>
          <w:p w14:paraId="17FB7A3E" w14:textId="77777777" w:rsidR="00063163" w:rsidRDefault="00063163">
            <w:pPr>
              <w:jc w:val="right"/>
              <w:rPr>
                <w:rFonts w:ascii="Calibri" w:hAnsi="Calibri" w:cs="Calibri"/>
                <w:color w:val="364049"/>
                <w:sz w:val="18"/>
                <w:szCs w:val="18"/>
              </w:rPr>
            </w:pPr>
            <w:r>
              <w:rPr>
                <w:rFonts w:ascii="Calibri" w:hAnsi="Calibri" w:cs="Calibri"/>
                <w:color w:val="364049"/>
                <w:sz w:val="18"/>
                <w:szCs w:val="18"/>
              </w:rPr>
              <w:t>560</w:t>
            </w:r>
          </w:p>
        </w:tc>
        <w:tc>
          <w:tcPr>
            <w:tcW w:w="7007" w:type="dxa"/>
            <w:tcBorders>
              <w:top w:val="nil"/>
              <w:left w:val="nil"/>
              <w:bottom w:val="single" w:sz="4" w:space="0" w:color="A0A0A0"/>
              <w:right w:val="single" w:sz="4" w:space="0" w:color="A0A0A0"/>
            </w:tcBorders>
            <w:shd w:val="clear" w:color="000000" w:fill="FFFFFF"/>
            <w:noWrap/>
            <w:hideMark/>
          </w:tcPr>
          <w:p w14:paraId="258D5C84" w14:textId="77777777" w:rsidR="00063163" w:rsidRDefault="00063163">
            <w:pPr>
              <w:rPr>
                <w:rFonts w:ascii="Calibri" w:hAnsi="Calibri" w:cs="Calibri"/>
                <w:color w:val="364049"/>
                <w:sz w:val="18"/>
                <w:szCs w:val="18"/>
              </w:rPr>
            </w:pPr>
            <w:r>
              <w:rPr>
                <w:rFonts w:ascii="Calibri" w:hAnsi="Calibri" w:cs="Calibri"/>
                <w:color w:val="364049"/>
                <w:sz w:val="18"/>
                <w:szCs w:val="18"/>
              </w:rPr>
              <w:t>5.         STANJE NA KRAJU GODINE</w:t>
            </w:r>
          </w:p>
        </w:tc>
        <w:tc>
          <w:tcPr>
            <w:tcW w:w="1320" w:type="dxa"/>
            <w:tcBorders>
              <w:top w:val="nil"/>
              <w:left w:val="nil"/>
              <w:bottom w:val="single" w:sz="4" w:space="0" w:color="A0A0A0"/>
              <w:right w:val="single" w:sz="4" w:space="0" w:color="A0A0A0"/>
            </w:tcBorders>
            <w:shd w:val="clear" w:color="000000" w:fill="FFFFFF"/>
            <w:noWrap/>
            <w:hideMark/>
          </w:tcPr>
          <w:p w14:paraId="3B22EC13" w14:textId="53B4E01A" w:rsidR="00063163" w:rsidRDefault="00063163">
            <w:pPr>
              <w:jc w:val="center"/>
              <w:rPr>
                <w:rFonts w:ascii="Calibri" w:hAnsi="Calibri" w:cs="Calibri"/>
                <w:color w:val="364049"/>
                <w:sz w:val="18"/>
                <w:szCs w:val="18"/>
              </w:rPr>
            </w:pPr>
            <w:r>
              <w:rPr>
                <w:rFonts w:ascii="Calibri" w:hAnsi="Calibri" w:cs="Calibri"/>
                <w:color w:val="364049"/>
                <w:sz w:val="18"/>
                <w:szCs w:val="18"/>
              </w:rPr>
              <w:t>268</w:t>
            </w:r>
            <w:r w:rsidR="008A7C12">
              <w:rPr>
                <w:rFonts w:ascii="Calibri" w:hAnsi="Calibri" w:cs="Calibri"/>
                <w:color w:val="364049"/>
                <w:sz w:val="18"/>
                <w:szCs w:val="18"/>
              </w:rPr>
              <w:t>.</w:t>
            </w:r>
            <w:r>
              <w:rPr>
                <w:rFonts w:ascii="Calibri" w:hAnsi="Calibri" w:cs="Calibri"/>
                <w:color w:val="364049"/>
                <w:sz w:val="18"/>
                <w:szCs w:val="18"/>
              </w:rPr>
              <w:t>397</w:t>
            </w:r>
            <w:r w:rsidR="008A7C12">
              <w:rPr>
                <w:rFonts w:ascii="Calibri" w:hAnsi="Calibri" w:cs="Calibri"/>
                <w:color w:val="364049"/>
                <w:sz w:val="18"/>
                <w:szCs w:val="18"/>
              </w:rPr>
              <w:t>,00</w:t>
            </w:r>
          </w:p>
        </w:tc>
      </w:tr>
    </w:tbl>
    <w:p w14:paraId="158B31F8" w14:textId="1215FDD9" w:rsidR="00B361DF" w:rsidRPr="00DE4F22" w:rsidRDefault="00B361DF" w:rsidP="00B361DF">
      <w:pPr>
        <w:rPr>
          <w:rFonts w:ascii="Georgia" w:eastAsia="Georgia" w:hAnsi="Georgia" w:cs="Georgia"/>
        </w:rPr>
      </w:pPr>
    </w:p>
    <w:p w14:paraId="724B45BD" w14:textId="77777777" w:rsidR="00695808" w:rsidRPr="00DE4F22" w:rsidRDefault="00695808">
      <w:pPr>
        <w:pBdr>
          <w:top w:val="nil"/>
          <w:left w:val="nil"/>
          <w:bottom w:val="nil"/>
          <w:right w:val="nil"/>
          <w:between w:val="nil"/>
        </w:pBdr>
        <w:rPr>
          <w:rFonts w:ascii="Georgia" w:eastAsia="Georgia" w:hAnsi="Georgia" w:cs="Georgia"/>
          <w:color w:val="000000"/>
          <w:sz w:val="20"/>
          <w:szCs w:val="20"/>
        </w:rPr>
      </w:pPr>
    </w:p>
    <w:p w14:paraId="4CBF60DD" w14:textId="44B572C6" w:rsidR="00695808" w:rsidRPr="00DE4F22" w:rsidRDefault="009C2EB0" w:rsidP="007077A7">
      <w:pPr>
        <w:pBdr>
          <w:top w:val="nil"/>
          <w:left w:val="nil"/>
          <w:bottom w:val="nil"/>
          <w:right w:val="nil"/>
          <w:between w:val="nil"/>
        </w:pBdr>
        <w:spacing w:after="240"/>
        <w:jc w:val="both"/>
        <w:rPr>
          <w:rFonts w:eastAsia="Georgia"/>
          <w:color w:val="000000"/>
        </w:rPr>
      </w:pPr>
      <w:r w:rsidRPr="00DE4F22">
        <w:rPr>
          <w:rFonts w:eastAsia="Georgia"/>
          <w:color w:val="000000"/>
        </w:rPr>
        <w:t xml:space="preserve">U strukturi planiranih </w:t>
      </w:r>
      <w:r w:rsidR="006A2DB7" w:rsidRPr="00DE4F22">
        <w:rPr>
          <w:rFonts w:eastAsia="Georgia"/>
          <w:color w:val="000000"/>
        </w:rPr>
        <w:t xml:space="preserve">odliva </w:t>
      </w:r>
      <w:r w:rsidRPr="00DE4F22">
        <w:rPr>
          <w:rFonts w:eastAsia="Georgia"/>
          <w:color w:val="000000"/>
        </w:rPr>
        <w:t>u 202</w:t>
      </w:r>
      <w:r w:rsidR="00BB7E06">
        <w:rPr>
          <w:rFonts w:eastAsia="Georgia"/>
          <w:color w:val="000000"/>
        </w:rPr>
        <w:t>5</w:t>
      </w:r>
      <w:r w:rsidRPr="00DE4F22">
        <w:rPr>
          <w:rFonts w:eastAsia="Georgia"/>
          <w:color w:val="000000"/>
        </w:rPr>
        <w:t>. godini najznačajniju stavku predstavljaju rashodi proizvodnih usluga</w:t>
      </w:r>
      <w:r w:rsidR="002E47C4" w:rsidRPr="00DE4F22">
        <w:rPr>
          <w:rFonts w:eastAsia="Georgia"/>
          <w:color w:val="000000"/>
        </w:rPr>
        <w:t xml:space="preserve"> </w:t>
      </w:r>
      <w:r w:rsidR="00BB7E06">
        <w:rPr>
          <w:rFonts w:eastAsia="Georgia"/>
          <w:b/>
          <w:bCs/>
          <w:color w:val="000000"/>
        </w:rPr>
        <w:t>36</w:t>
      </w:r>
      <w:r w:rsidR="001A1D3F" w:rsidRPr="00DE4F22">
        <w:rPr>
          <w:rFonts w:eastAsia="Georgia"/>
          <w:b/>
          <w:bCs/>
          <w:color w:val="000000"/>
        </w:rPr>
        <w:t>.</w:t>
      </w:r>
      <w:r w:rsidR="00DF7469">
        <w:rPr>
          <w:rFonts w:eastAsia="Georgia"/>
          <w:b/>
          <w:bCs/>
          <w:color w:val="000000"/>
        </w:rPr>
        <w:t>523</w:t>
      </w:r>
      <w:r w:rsidR="001A1D3F" w:rsidRPr="00DE4F22">
        <w:rPr>
          <w:rFonts w:eastAsia="Georgia"/>
          <w:b/>
          <w:bCs/>
          <w:color w:val="000000"/>
        </w:rPr>
        <w:t>.</w:t>
      </w:r>
      <w:r w:rsidR="00DF7469">
        <w:rPr>
          <w:rFonts w:eastAsia="Georgia"/>
          <w:b/>
          <w:bCs/>
          <w:color w:val="000000"/>
        </w:rPr>
        <w:t>323</w:t>
      </w:r>
      <w:r w:rsidR="001A1D3F" w:rsidRPr="00DE4F22">
        <w:rPr>
          <w:rFonts w:eastAsia="Georgia"/>
          <w:b/>
          <w:bCs/>
          <w:color w:val="000000"/>
        </w:rPr>
        <w:t>,</w:t>
      </w:r>
      <w:r w:rsidR="00BB7E06">
        <w:rPr>
          <w:rFonts w:eastAsia="Georgia"/>
          <w:b/>
          <w:bCs/>
          <w:color w:val="000000"/>
        </w:rPr>
        <w:t>00</w:t>
      </w:r>
      <w:r w:rsidR="0080415E" w:rsidRPr="00DE4F22">
        <w:rPr>
          <w:rFonts w:eastAsia="Georgia"/>
          <w:b/>
          <w:bCs/>
          <w:color w:val="000000"/>
        </w:rPr>
        <w:t>€</w:t>
      </w:r>
      <w:r w:rsidR="00C2293E" w:rsidRPr="00DE4F22">
        <w:rPr>
          <w:rFonts w:eastAsia="Georgia"/>
          <w:color w:val="000000"/>
        </w:rPr>
        <w:t xml:space="preserve"> </w:t>
      </w:r>
      <w:r w:rsidRPr="00DE4F22">
        <w:rPr>
          <w:rFonts w:eastAsia="Georgia"/>
          <w:color w:val="000000"/>
        </w:rPr>
        <w:t>(</w:t>
      </w:r>
      <w:r w:rsidR="00BB7E06">
        <w:rPr>
          <w:rFonts w:eastAsia="Georgia"/>
          <w:color w:val="000000"/>
        </w:rPr>
        <w:t>95,4</w:t>
      </w:r>
      <w:r w:rsidR="00DF7469">
        <w:rPr>
          <w:rFonts w:eastAsia="Georgia"/>
          <w:color w:val="000000"/>
        </w:rPr>
        <w:t>1</w:t>
      </w:r>
      <w:r w:rsidRPr="00DE4F22">
        <w:rPr>
          <w:rFonts w:eastAsia="Georgia"/>
          <w:color w:val="000000"/>
        </w:rPr>
        <w:t>% u odnosu na ukupne rashode) od čega rashodi za realizaciju projekata</w:t>
      </w:r>
      <w:r w:rsidR="0085401B" w:rsidRPr="00DE4F22">
        <w:rPr>
          <w:rFonts w:eastAsia="Georgia"/>
          <w:color w:val="000000"/>
        </w:rPr>
        <w:t xml:space="preserve"> iznose</w:t>
      </w:r>
      <w:r w:rsidR="00C2293E" w:rsidRPr="00DE4F22">
        <w:rPr>
          <w:rFonts w:eastAsia="Georgia"/>
          <w:color w:val="000000"/>
        </w:rPr>
        <w:t xml:space="preserve"> </w:t>
      </w:r>
      <w:r w:rsidR="00BB7E06" w:rsidRPr="00BB7E06">
        <w:rPr>
          <w:rFonts w:eastAsia="Georgia"/>
          <w:b/>
          <w:bCs/>
          <w:color w:val="000000"/>
        </w:rPr>
        <w:t>3</w:t>
      </w:r>
      <w:r w:rsidR="00BB7E06">
        <w:rPr>
          <w:rFonts w:eastAsia="Georgia"/>
          <w:b/>
          <w:bCs/>
          <w:color w:val="000000"/>
        </w:rPr>
        <w:t>6</w:t>
      </w:r>
      <w:r w:rsidR="001A1D3F" w:rsidRPr="00DE4F22">
        <w:rPr>
          <w:rFonts w:eastAsia="Georgia"/>
          <w:b/>
          <w:bCs/>
          <w:color w:val="000000"/>
        </w:rPr>
        <w:t>.</w:t>
      </w:r>
      <w:r w:rsidR="00DF7469">
        <w:rPr>
          <w:rFonts w:eastAsia="Georgia"/>
          <w:b/>
          <w:bCs/>
          <w:color w:val="000000"/>
        </w:rPr>
        <w:t>415</w:t>
      </w:r>
      <w:r w:rsidR="001A1D3F" w:rsidRPr="00DE4F22">
        <w:rPr>
          <w:rFonts w:eastAsia="Georgia"/>
          <w:b/>
          <w:bCs/>
          <w:color w:val="000000"/>
        </w:rPr>
        <w:t>.</w:t>
      </w:r>
      <w:r w:rsidR="00DF7469">
        <w:rPr>
          <w:rFonts w:eastAsia="Georgia"/>
          <w:b/>
          <w:bCs/>
          <w:color w:val="000000"/>
        </w:rPr>
        <w:t>823</w:t>
      </w:r>
      <w:r w:rsidR="001A1D3F" w:rsidRPr="00DE4F22">
        <w:rPr>
          <w:rFonts w:eastAsia="Georgia"/>
          <w:b/>
          <w:bCs/>
          <w:color w:val="000000"/>
        </w:rPr>
        <w:t>,</w:t>
      </w:r>
      <w:r w:rsidR="00BB7E06">
        <w:rPr>
          <w:rFonts w:eastAsia="Georgia"/>
          <w:b/>
          <w:bCs/>
          <w:color w:val="000000"/>
        </w:rPr>
        <w:t>00</w:t>
      </w:r>
      <w:r w:rsidR="00C2293E" w:rsidRPr="00DE4F22">
        <w:rPr>
          <w:rFonts w:eastAsia="Georgia"/>
          <w:b/>
          <w:bCs/>
          <w:color w:val="000000"/>
        </w:rPr>
        <w:t>€</w:t>
      </w:r>
      <w:r w:rsidR="00C2293E" w:rsidRPr="00DE4F22">
        <w:rPr>
          <w:rFonts w:eastAsia="Georgia"/>
          <w:color w:val="000000"/>
        </w:rPr>
        <w:t xml:space="preserve"> (</w:t>
      </w:r>
      <w:r w:rsidR="00BB7E06">
        <w:rPr>
          <w:rFonts w:eastAsia="Georgia"/>
          <w:color w:val="000000"/>
        </w:rPr>
        <w:t>95</w:t>
      </w:r>
      <w:r w:rsidR="001A1D3F" w:rsidRPr="00DE4F22">
        <w:rPr>
          <w:rFonts w:eastAsia="Georgia"/>
          <w:color w:val="000000"/>
        </w:rPr>
        <w:t>,</w:t>
      </w:r>
      <w:r w:rsidR="00BB7E06">
        <w:rPr>
          <w:rFonts w:eastAsia="Georgia"/>
          <w:color w:val="000000"/>
        </w:rPr>
        <w:t>1</w:t>
      </w:r>
      <w:r w:rsidR="00DF7469">
        <w:rPr>
          <w:rFonts w:eastAsia="Georgia"/>
          <w:color w:val="000000"/>
        </w:rPr>
        <w:t>3</w:t>
      </w:r>
      <w:r w:rsidR="00C2293E" w:rsidRPr="00DE4F22">
        <w:rPr>
          <w:rFonts w:eastAsia="Georgia"/>
          <w:color w:val="000000"/>
        </w:rPr>
        <w:t xml:space="preserve">% u odnosu na ukupne rashode). </w:t>
      </w:r>
    </w:p>
    <w:p w14:paraId="64F3EC34" w14:textId="3E9B6B4B" w:rsidR="0049621D" w:rsidRPr="00DE4F22" w:rsidRDefault="0028613C" w:rsidP="007077A7">
      <w:pPr>
        <w:pBdr>
          <w:top w:val="nil"/>
          <w:left w:val="nil"/>
          <w:bottom w:val="nil"/>
          <w:right w:val="nil"/>
          <w:between w:val="nil"/>
        </w:pBdr>
        <w:spacing w:after="240"/>
        <w:jc w:val="both"/>
        <w:rPr>
          <w:rFonts w:eastAsia="Georgia"/>
          <w:color w:val="000000"/>
        </w:rPr>
      </w:pPr>
      <w:r w:rsidRPr="00DE4F22">
        <w:rPr>
          <w:color w:val="000000"/>
        </w:rPr>
        <w:t xml:space="preserve">U  cilju dobijanja mišljenja vezanog za priznavanje rashoda za realizaciju projekata u smislu Zakona o porezu na dobit pravnih lica, Eko-fond se </w:t>
      </w:r>
      <w:r w:rsidR="00AD58EE" w:rsidRPr="00DE4F22">
        <w:rPr>
          <w:color w:val="000000"/>
        </w:rPr>
        <w:t xml:space="preserve">u više navrata </w:t>
      </w:r>
      <w:r w:rsidRPr="00DE4F22">
        <w:rPr>
          <w:color w:val="000000"/>
        </w:rPr>
        <w:t>obratio Ministarstvu finansija</w:t>
      </w:r>
      <w:r w:rsidR="009314B8" w:rsidRPr="00DE4F22">
        <w:rPr>
          <w:rFonts w:eastAsia="Georgia"/>
          <w:color w:val="000000"/>
        </w:rPr>
        <w:t xml:space="preserve">. </w:t>
      </w:r>
      <w:r w:rsidR="00DF213B" w:rsidRPr="00DE4F22">
        <w:rPr>
          <w:rFonts w:eastAsia="Georgia"/>
          <w:color w:val="000000"/>
        </w:rPr>
        <w:t xml:space="preserve">Predmet </w:t>
      </w:r>
      <w:r w:rsidRPr="00DE4F22">
        <w:rPr>
          <w:rFonts w:eastAsia="Georgia"/>
          <w:color w:val="000000"/>
        </w:rPr>
        <w:t>obraćanja Ministarstvu je č</w:t>
      </w:r>
      <w:r w:rsidR="00A1191A" w:rsidRPr="00DE4F22">
        <w:rPr>
          <w:rFonts w:eastAsia="Georgia"/>
          <w:color w:val="000000"/>
        </w:rPr>
        <w:t>injenica</w:t>
      </w:r>
      <w:r w:rsidR="009314B8" w:rsidRPr="00DE4F22">
        <w:rPr>
          <w:rFonts w:eastAsia="Georgia"/>
          <w:color w:val="000000"/>
        </w:rPr>
        <w:t xml:space="preserve"> da je ovo </w:t>
      </w:r>
      <w:r w:rsidR="00327C44" w:rsidRPr="00DE4F22">
        <w:rPr>
          <w:rFonts w:eastAsia="Georgia"/>
          <w:color w:val="000000"/>
        </w:rPr>
        <w:t>D</w:t>
      </w:r>
      <w:r w:rsidR="009314B8" w:rsidRPr="00DE4F22">
        <w:rPr>
          <w:rFonts w:eastAsia="Georgia"/>
          <w:color w:val="000000"/>
        </w:rPr>
        <w:t xml:space="preserve">ruštvo osnovano s ciljem finansiranja pripreme, sprovođenja i razvoja programa, projekata i sličnih aktivnosti u oblasti očuvanja, održivog korišćenja, zaštite i </w:t>
      </w:r>
      <w:r w:rsidR="00D36322" w:rsidRPr="00DE4F22">
        <w:rPr>
          <w:rFonts w:eastAsia="Georgia"/>
          <w:color w:val="000000"/>
        </w:rPr>
        <w:t>unaprjeđivanja</w:t>
      </w:r>
      <w:r w:rsidR="009314B8" w:rsidRPr="00DE4F22">
        <w:rPr>
          <w:rFonts w:eastAsia="Georgia"/>
          <w:color w:val="000000"/>
        </w:rPr>
        <w:t xml:space="preserve"> životne sredine, energetske efikasnosti i korišćenja obnovljivih izvora i energije na državnom i lokalnom nivou, </w:t>
      </w:r>
      <w:r w:rsidR="00A1191A" w:rsidRPr="00DE4F22">
        <w:rPr>
          <w:rFonts w:eastAsia="Georgia"/>
          <w:color w:val="000000"/>
        </w:rPr>
        <w:t xml:space="preserve">i </w:t>
      </w:r>
      <w:r w:rsidR="009314B8" w:rsidRPr="00DE4F22">
        <w:rPr>
          <w:rFonts w:eastAsia="Georgia"/>
          <w:color w:val="000000"/>
        </w:rPr>
        <w:t>da se Eko-fond finansira putem naknada koje kroz pojedinačni</w:t>
      </w:r>
      <w:r w:rsidR="000018C3" w:rsidRPr="00DE4F22">
        <w:rPr>
          <w:rFonts w:eastAsia="Georgia"/>
          <w:color w:val="000000"/>
        </w:rPr>
        <w:t xml:space="preserve"> </w:t>
      </w:r>
      <w:r w:rsidR="009314B8" w:rsidRPr="00DE4F22">
        <w:rPr>
          <w:rFonts w:eastAsia="Georgia"/>
          <w:color w:val="000000"/>
        </w:rPr>
        <w:t xml:space="preserve">akt obveznicima određuje </w:t>
      </w:r>
      <w:r w:rsidR="00A1191A" w:rsidRPr="00DE4F22">
        <w:rPr>
          <w:rFonts w:eastAsia="Georgia"/>
          <w:color w:val="000000"/>
        </w:rPr>
        <w:t>nadležan organ</w:t>
      </w:r>
      <w:r w:rsidR="009314B8" w:rsidRPr="00DE4F22">
        <w:rPr>
          <w:rFonts w:eastAsia="Georgia"/>
          <w:color w:val="000000"/>
        </w:rPr>
        <w:t>, a koje naknade predstavljaju prihod Eko-fond</w:t>
      </w:r>
      <w:r w:rsidR="0005399C" w:rsidRPr="00DE4F22">
        <w:rPr>
          <w:rFonts w:eastAsia="Georgia"/>
          <w:color w:val="000000"/>
        </w:rPr>
        <w:t>a</w:t>
      </w:r>
      <w:r w:rsidR="00A1191A" w:rsidRPr="00DE4F22">
        <w:rPr>
          <w:rFonts w:eastAsia="Georgia"/>
          <w:color w:val="000000"/>
        </w:rPr>
        <w:t>.</w:t>
      </w:r>
    </w:p>
    <w:p w14:paraId="70B26D6B" w14:textId="256BB699" w:rsidR="00B542C2" w:rsidRDefault="00FD3A95" w:rsidP="00F112DD">
      <w:pPr>
        <w:jc w:val="both"/>
      </w:pPr>
      <w:r w:rsidRPr="00DE4F22">
        <w:rPr>
          <w:rFonts w:eastAsia="Georgia"/>
          <w:color w:val="000000"/>
        </w:rPr>
        <w:t>Dopis broj 03-011/23-34/</w:t>
      </w:r>
      <w:r w:rsidR="00062DA4" w:rsidRPr="00DE4F22">
        <w:rPr>
          <w:rFonts w:eastAsia="Georgia"/>
          <w:color w:val="000000"/>
        </w:rPr>
        <w:t>1</w:t>
      </w:r>
      <w:r w:rsidRPr="00DE4F22">
        <w:rPr>
          <w:rFonts w:eastAsia="Georgia"/>
          <w:color w:val="000000"/>
        </w:rPr>
        <w:t xml:space="preserve"> poslat je </w:t>
      </w:r>
      <w:r w:rsidR="00062DA4" w:rsidRPr="00DE4F22">
        <w:rPr>
          <w:rFonts w:eastAsia="Georgia"/>
          <w:color w:val="000000"/>
        </w:rPr>
        <w:t>12</w:t>
      </w:r>
      <w:r w:rsidRPr="00DE4F22">
        <w:rPr>
          <w:rFonts w:eastAsia="Georgia"/>
          <w:color w:val="000000"/>
        </w:rPr>
        <w:t>.0</w:t>
      </w:r>
      <w:r w:rsidR="00062DA4" w:rsidRPr="00DE4F22">
        <w:rPr>
          <w:rFonts w:eastAsia="Georgia"/>
          <w:color w:val="000000"/>
        </w:rPr>
        <w:t>1</w:t>
      </w:r>
      <w:r w:rsidRPr="00DE4F22">
        <w:rPr>
          <w:rFonts w:eastAsia="Georgia"/>
          <w:color w:val="000000"/>
        </w:rPr>
        <w:t>.2023.</w:t>
      </w:r>
      <w:r w:rsidR="00876A1D">
        <w:rPr>
          <w:rFonts w:eastAsia="Georgia"/>
          <w:color w:val="000000"/>
        </w:rPr>
        <w:t xml:space="preserve"> </w:t>
      </w:r>
      <w:r w:rsidRPr="00DE4F22">
        <w:rPr>
          <w:rFonts w:eastAsia="Georgia"/>
          <w:color w:val="000000"/>
        </w:rPr>
        <w:t xml:space="preserve">godine Ministarstvu finansija sa ciljem da se obrazloži jos jednom stav Eko-fonda i sagleda zahtjev koji je upućivan i </w:t>
      </w:r>
      <w:r w:rsidRPr="000469A7">
        <w:rPr>
          <w:rFonts w:eastAsia="Georgia"/>
        </w:rPr>
        <w:t>ranije</w:t>
      </w:r>
      <w:r w:rsidR="00F112DD" w:rsidRPr="000469A7">
        <w:rPr>
          <w:rFonts w:eastAsia="Georgia"/>
        </w:rPr>
        <w:t xml:space="preserve">. </w:t>
      </w:r>
      <w:r w:rsidR="00790D9F" w:rsidRPr="000469A7">
        <w:rPr>
          <w:rFonts w:eastAsia="Georgia"/>
        </w:rPr>
        <w:t xml:space="preserve">U </w:t>
      </w:r>
      <w:r w:rsidR="00790D9F" w:rsidRPr="000469A7">
        <w:t>o</w:t>
      </w:r>
      <w:r w:rsidR="00062DA4" w:rsidRPr="000469A7">
        <w:t>dgovor</w:t>
      </w:r>
      <w:r w:rsidR="00790D9F" w:rsidRPr="000469A7">
        <w:t>u</w:t>
      </w:r>
      <w:r w:rsidR="00062DA4" w:rsidRPr="000469A7">
        <w:t xml:space="preserve"> Ministarstva finansija od 23.01.2023.</w:t>
      </w:r>
      <w:r w:rsidR="00876A1D" w:rsidRPr="000469A7">
        <w:t xml:space="preserve"> </w:t>
      </w:r>
      <w:r w:rsidR="00062DA4" w:rsidRPr="000469A7">
        <w:t xml:space="preserve">godine </w:t>
      </w:r>
      <w:r w:rsidR="00EB5FCB" w:rsidRPr="000469A7">
        <w:t xml:space="preserve">(broj 07-490/29-184/2) </w:t>
      </w:r>
      <w:r w:rsidR="00790D9F" w:rsidRPr="000469A7">
        <w:t xml:space="preserve">navedeno </w:t>
      </w:r>
      <w:r w:rsidR="00062DA4" w:rsidRPr="000469A7">
        <w:t xml:space="preserve">je </w:t>
      </w:r>
      <w:r w:rsidR="00790D9F" w:rsidRPr="000469A7">
        <w:t xml:space="preserve">da </w:t>
      </w:r>
      <w:r w:rsidR="005B2077" w:rsidRPr="000469A7">
        <w:t>„</w:t>
      </w:r>
      <w:r w:rsidR="00062DA4" w:rsidRPr="000469A7">
        <w:t xml:space="preserve"> zahtjev Eko-fonda, da se prilivi i odlivi sredstava prikupljeni od emisionih kredita iskazuju </w:t>
      </w:r>
      <w:r w:rsidR="00062DA4" w:rsidRPr="00DE4F22">
        <w:t xml:space="preserve">samo u </w:t>
      </w:r>
      <w:r w:rsidR="002847DB" w:rsidRPr="00DE4F22">
        <w:t>Bilansu</w:t>
      </w:r>
      <w:r w:rsidR="00062DA4" w:rsidRPr="00DE4F22">
        <w:t xml:space="preserve"> stanja zaduženjem određenog prelaznog knjigovodstvenog računa, odnosno </w:t>
      </w:r>
      <w:r w:rsidR="005B2077" w:rsidRPr="00DE4F22">
        <w:t xml:space="preserve">da se predmetna sredstva ne iskazuju u Bilansu uspjeha, </w:t>
      </w:r>
      <w:r w:rsidR="005B2077" w:rsidRPr="00DE4F22">
        <w:rPr>
          <w:b/>
          <w:bCs/>
        </w:rPr>
        <w:t xml:space="preserve">nije opravdan </w:t>
      </w:r>
      <w:r w:rsidR="005B2077" w:rsidRPr="00DE4F22">
        <w:t>jer isti nije u skladu sa Zakonom o računovodstvu, MRS i MSFI. Takođe, nije nam poznato postojanje adekvatnog uporišta u zakonskim i drugim propisima, kojima je regulisano poslovanje Fonda, da se ovo pitanje tretira na način kako je predloženo od strane Eko-fonda</w:t>
      </w:r>
      <w:r w:rsidR="002847DB" w:rsidRPr="00DE4F22">
        <w:t>”</w:t>
      </w:r>
      <w:r w:rsidR="005B2077" w:rsidRPr="00DE4F22">
        <w:t>. Kao zaključak navodi se da „obveznik poreza na dobit će prilikom izračunavanja svoje oporezive dobiti, priznati prihode i rashode u iznosima utvrđenim bilansom uspjeha koji je sastavljen u skladu sa zakonom kojim se uređuje računovodstvo, odnos</w:t>
      </w:r>
      <w:r w:rsidR="002847DB" w:rsidRPr="00DE4F22">
        <w:t>no</w:t>
      </w:r>
      <w:r w:rsidR="005B2077" w:rsidRPr="00DE4F22">
        <w:t xml:space="preserve"> u skladu sa međunarodnim računovodstvenim standardima MRS, izuzev prihoda i rashoda za koje je ovim zakonom </w:t>
      </w:r>
      <w:r w:rsidR="00B542C2">
        <w:t xml:space="preserve">propisan drugačiji poreski tretman.                       </w:t>
      </w:r>
    </w:p>
    <w:p w14:paraId="02807591" w14:textId="7E81B53A" w:rsidR="00062DA4" w:rsidRDefault="00990F9F" w:rsidP="00F112DD">
      <w:pPr>
        <w:jc w:val="both"/>
      </w:pPr>
      <w:r w:rsidRPr="00DE4F22">
        <w:br/>
      </w:r>
      <w:r w:rsidR="00443546">
        <w:t>S</w:t>
      </w:r>
      <w:r w:rsidRPr="00DE4F22">
        <w:t xml:space="preserve"> obzirom na gore navedeno planirani su rashodi po osnovu poreza na dobiti i isti su iskazani u strukturi rashoda</w:t>
      </w:r>
      <w:r w:rsidR="00443546">
        <w:t>.</w:t>
      </w:r>
    </w:p>
    <w:p w14:paraId="7D4B3F02" w14:textId="77777777" w:rsidR="00443546" w:rsidRDefault="00443546" w:rsidP="00F112DD">
      <w:pPr>
        <w:jc w:val="both"/>
      </w:pPr>
    </w:p>
    <w:p w14:paraId="02A84EDA" w14:textId="77777777" w:rsidR="00443546" w:rsidRPr="00DE4F22" w:rsidRDefault="00443546" w:rsidP="00F112DD">
      <w:pPr>
        <w:jc w:val="both"/>
      </w:pPr>
    </w:p>
    <w:p w14:paraId="24E9DF52" w14:textId="03C38A6F" w:rsidR="00D3330F" w:rsidRPr="00DE4F22" w:rsidRDefault="00386DAF" w:rsidP="009E74B1">
      <w:pPr>
        <w:pStyle w:val="Heading2"/>
        <w:numPr>
          <w:ilvl w:val="0"/>
          <w:numId w:val="25"/>
        </w:numPr>
        <w:rPr>
          <w:rFonts w:ascii="Times New Roman" w:eastAsia="Georgia" w:hAnsi="Times New Roman" w:cs="Times New Roman"/>
          <w:b/>
          <w:bCs/>
          <w:color w:val="000000"/>
          <w:sz w:val="24"/>
          <w:szCs w:val="32"/>
          <w:lang w:eastAsia="hr-HR"/>
        </w:rPr>
      </w:pPr>
      <w:bookmarkStart w:id="6" w:name="_Toc195614774"/>
      <w:r w:rsidRPr="00DE4F22">
        <w:rPr>
          <w:rFonts w:ascii="Times New Roman" w:eastAsia="Georgia" w:hAnsi="Times New Roman" w:cs="Times New Roman"/>
          <w:b/>
          <w:bCs/>
          <w:color w:val="000000"/>
          <w:sz w:val="24"/>
          <w:szCs w:val="32"/>
          <w:lang w:eastAsia="hr-HR"/>
        </w:rPr>
        <w:t>INVESTICIONA ULAGANJA I TEKUĆE ODRŽAVANJE</w:t>
      </w:r>
      <w:bookmarkEnd w:id="6"/>
    </w:p>
    <w:p w14:paraId="3B2906DC" w14:textId="36CD5ED3" w:rsidR="00D3330F" w:rsidRPr="00DE4F22" w:rsidRDefault="00D3330F" w:rsidP="00005750">
      <w:pPr>
        <w:pStyle w:val="ListParagraph"/>
        <w:numPr>
          <w:ilvl w:val="1"/>
          <w:numId w:val="25"/>
        </w:numPr>
        <w:pBdr>
          <w:top w:val="nil"/>
          <w:left w:val="nil"/>
          <w:bottom w:val="nil"/>
          <w:right w:val="nil"/>
          <w:between w:val="nil"/>
        </w:pBdr>
        <w:spacing w:after="0"/>
        <w:rPr>
          <w:rFonts w:ascii="Times New Roman" w:eastAsia="Georgia" w:hAnsi="Times New Roman" w:cs="Times New Roman"/>
          <w:b/>
          <w:bCs/>
          <w:color w:val="000000"/>
          <w:sz w:val="24"/>
          <w:lang w:val="sr-Latn-ME" w:eastAsia="en-GB"/>
        </w:rPr>
      </w:pPr>
      <w:r w:rsidRPr="00DE4F22">
        <w:rPr>
          <w:rFonts w:ascii="Times New Roman" w:eastAsia="Georgia" w:hAnsi="Times New Roman" w:cs="Times New Roman"/>
          <w:b/>
          <w:bCs/>
          <w:color w:val="000000"/>
          <w:sz w:val="24"/>
          <w:lang w:val="sr-Latn-ME" w:eastAsia="en-GB"/>
        </w:rPr>
        <w:t xml:space="preserve">Planirana sredstva za nabavku osnovnih sredstava iznose </w:t>
      </w:r>
      <w:r w:rsidR="00443546">
        <w:rPr>
          <w:rFonts w:ascii="Times New Roman" w:eastAsia="Georgia" w:hAnsi="Times New Roman" w:cs="Times New Roman"/>
          <w:b/>
          <w:bCs/>
          <w:color w:val="000000"/>
          <w:sz w:val="24"/>
          <w:lang w:val="sr-Latn-ME" w:eastAsia="en-GB"/>
        </w:rPr>
        <w:t>103</w:t>
      </w:r>
      <w:r w:rsidR="0015441C" w:rsidRPr="00DE4F22">
        <w:rPr>
          <w:rFonts w:ascii="Times New Roman" w:eastAsia="Georgia" w:hAnsi="Times New Roman" w:cs="Times New Roman"/>
          <w:b/>
          <w:bCs/>
          <w:color w:val="000000"/>
          <w:sz w:val="24"/>
          <w:lang w:val="sr-Latn-ME" w:eastAsia="en-GB"/>
        </w:rPr>
        <w:t>.</w:t>
      </w:r>
      <w:r w:rsidR="00443546">
        <w:rPr>
          <w:rFonts w:ascii="Times New Roman" w:eastAsia="Georgia" w:hAnsi="Times New Roman" w:cs="Times New Roman"/>
          <w:b/>
          <w:bCs/>
          <w:color w:val="000000"/>
          <w:sz w:val="24"/>
          <w:lang w:val="sr-Latn-ME" w:eastAsia="en-GB"/>
        </w:rPr>
        <w:t>0</w:t>
      </w:r>
      <w:r w:rsidR="0015441C" w:rsidRPr="00DE4F22">
        <w:rPr>
          <w:rFonts w:ascii="Times New Roman" w:eastAsia="Georgia" w:hAnsi="Times New Roman" w:cs="Times New Roman"/>
          <w:b/>
          <w:bCs/>
          <w:color w:val="000000"/>
          <w:sz w:val="24"/>
          <w:lang w:val="sr-Latn-ME" w:eastAsia="en-GB"/>
        </w:rPr>
        <w:t>00</w:t>
      </w:r>
      <w:r w:rsidR="00412175" w:rsidRPr="00DE4F22">
        <w:rPr>
          <w:rFonts w:ascii="Times New Roman" w:eastAsia="Georgia" w:hAnsi="Times New Roman" w:cs="Times New Roman"/>
          <w:b/>
          <w:bCs/>
          <w:color w:val="000000"/>
          <w:sz w:val="24"/>
          <w:lang w:val="sr-Latn-ME" w:eastAsia="en-GB"/>
        </w:rPr>
        <w:t>,</w:t>
      </w:r>
      <w:r w:rsidRPr="00DE4F22">
        <w:rPr>
          <w:rFonts w:ascii="Times New Roman" w:eastAsia="Georgia" w:hAnsi="Times New Roman" w:cs="Times New Roman"/>
          <w:b/>
          <w:bCs/>
          <w:color w:val="000000"/>
          <w:sz w:val="24"/>
          <w:lang w:val="sr-Latn-ME" w:eastAsia="en-GB"/>
        </w:rPr>
        <w:t xml:space="preserve">00€. </w:t>
      </w:r>
    </w:p>
    <w:p w14:paraId="1076EEC6" w14:textId="0DD765B9" w:rsidR="002333DD" w:rsidRDefault="00814863" w:rsidP="00005750">
      <w:pPr>
        <w:pStyle w:val="ListParagraph"/>
        <w:numPr>
          <w:ilvl w:val="2"/>
          <w:numId w:val="25"/>
        </w:numPr>
        <w:pBdr>
          <w:top w:val="nil"/>
          <w:left w:val="nil"/>
          <w:bottom w:val="nil"/>
          <w:right w:val="nil"/>
          <w:between w:val="nil"/>
        </w:pBdr>
        <w:spacing w:after="0"/>
        <w:rPr>
          <w:rFonts w:ascii="Times New Roman" w:eastAsia="Georgia" w:hAnsi="Times New Roman" w:cs="Times New Roman"/>
          <w:color w:val="000000" w:themeColor="text1"/>
          <w:sz w:val="24"/>
          <w:lang w:val="sr-Latn-ME" w:eastAsia="en-GB"/>
        </w:rPr>
      </w:pPr>
      <w:r w:rsidRPr="00DE4F22">
        <w:rPr>
          <w:rFonts w:ascii="Times New Roman" w:eastAsia="Georgia" w:hAnsi="Times New Roman" w:cs="Times New Roman"/>
          <w:color w:val="000000" w:themeColor="text1"/>
          <w:sz w:val="24"/>
          <w:lang w:val="sr-Latn-ME" w:eastAsia="en-GB"/>
        </w:rPr>
        <w:t>Planirana</w:t>
      </w:r>
      <w:r w:rsidR="00023322" w:rsidRPr="00DE4F22">
        <w:rPr>
          <w:rFonts w:ascii="Times New Roman" w:eastAsia="Georgia" w:hAnsi="Times New Roman" w:cs="Times New Roman"/>
          <w:color w:val="000000" w:themeColor="text1"/>
          <w:sz w:val="24"/>
          <w:lang w:val="sr-Latn-ME" w:eastAsia="en-GB"/>
        </w:rPr>
        <w:t xml:space="preserve"> je</w:t>
      </w:r>
      <w:r w:rsidRPr="00DE4F22">
        <w:rPr>
          <w:rFonts w:ascii="Times New Roman" w:eastAsia="Georgia" w:hAnsi="Times New Roman" w:cs="Times New Roman"/>
          <w:color w:val="000000" w:themeColor="text1"/>
          <w:sz w:val="24"/>
          <w:lang w:val="sr-Latn-ME" w:eastAsia="en-GB"/>
        </w:rPr>
        <w:t xml:space="preserve"> i</w:t>
      </w:r>
      <w:r w:rsidR="00023322" w:rsidRPr="00DE4F22">
        <w:rPr>
          <w:rFonts w:ascii="Times New Roman" w:eastAsia="Georgia" w:hAnsi="Times New Roman" w:cs="Times New Roman"/>
          <w:color w:val="000000" w:themeColor="text1"/>
          <w:sz w:val="24"/>
          <w:lang w:val="sr-Latn-ME" w:eastAsia="en-GB"/>
        </w:rPr>
        <w:t xml:space="preserve"> nabavka </w:t>
      </w:r>
      <w:r w:rsidR="00443546">
        <w:rPr>
          <w:rFonts w:ascii="Times New Roman" w:eastAsia="Georgia" w:hAnsi="Times New Roman" w:cs="Times New Roman"/>
          <w:color w:val="000000" w:themeColor="text1"/>
          <w:sz w:val="24"/>
          <w:lang w:val="sr-Latn-ME" w:eastAsia="en-GB"/>
        </w:rPr>
        <w:t xml:space="preserve">računara, </w:t>
      </w:r>
      <w:r w:rsidR="00023322" w:rsidRPr="00DE4F22">
        <w:rPr>
          <w:rFonts w:ascii="Times New Roman" w:eastAsia="Georgia" w:hAnsi="Times New Roman" w:cs="Times New Roman"/>
          <w:color w:val="000000" w:themeColor="text1"/>
          <w:sz w:val="24"/>
          <w:lang w:val="sr-Latn-ME" w:eastAsia="en-GB"/>
        </w:rPr>
        <w:t xml:space="preserve">mobilnih i fiksnih uređaja za zaposlene u ukupnom iznosu od </w:t>
      </w:r>
      <w:r w:rsidR="00443546">
        <w:rPr>
          <w:rFonts w:ascii="Times New Roman" w:eastAsia="Georgia" w:hAnsi="Times New Roman" w:cs="Times New Roman"/>
          <w:color w:val="000000" w:themeColor="text1"/>
          <w:sz w:val="24"/>
          <w:lang w:val="sr-Latn-ME" w:eastAsia="en-GB"/>
        </w:rPr>
        <w:t>10</w:t>
      </w:r>
      <w:r w:rsidR="00E81EB6" w:rsidRPr="00DE4F22">
        <w:rPr>
          <w:rFonts w:ascii="Times New Roman" w:eastAsia="Georgia" w:hAnsi="Times New Roman" w:cs="Times New Roman"/>
          <w:color w:val="000000" w:themeColor="text1"/>
          <w:sz w:val="24"/>
          <w:lang w:val="sr-Latn-ME" w:eastAsia="en-GB"/>
        </w:rPr>
        <w:t>.0</w:t>
      </w:r>
      <w:r w:rsidR="00023322" w:rsidRPr="00DE4F22">
        <w:rPr>
          <w:rFonts w:ascii="Times New Roman" w:eastAsia="Georgia" w:hAnsi="Times New Roman" w:cs="Times New Roman"/>
          <w:color w:val="000000" w:themeColor="text1"/>
          <w:sz w:val="24"/>
          <w:lang w:val="sr-Latn-ME" w:eastAsia="en-GB"/>
        </w:rPr>
        <w:t>00,00€.</w:t>
      </w:r>
    </w:p>
    <w:p w14:paraId="298AD19B" w14:textId="257A3DD3" w:rsidR="00443546" w:rsidRPr="00DE4F22" w:rsidRDefault="00443546" w:rsidP="00005750">
      <w:pPr>
        <w:pStyle w:val="ListParagraph"/>
        <w:numPr>
          <w:ilvl w:val="2"/>
          <w:numId w:val="25"/>
        </w:numPr>
        <w:pBdr>
          <w:top w:val="nil"/>
          <w:left w:val="nil"/>
          <w:bottom w:val="nil"/>
          <w:right w:val="nil"/>
          <w:between w:val="nil"/>
        </w:pBdr>
        <w:spacing w:after="0"/>
        <w:rPr>
          <w:rFonts w:ascii="Times New Roman" w:eastAsia="Georgia" w:hAnsi="Times New Roman" w:cs="Times New Roman"/>
          <w:color w:val="000000" w:themeColor="text1"/>
          <w:sz w:val="24"/>
          <w:lang w:val="sr-Latn-ME" w:eastAsia="en-GB"/>
        </w:rPr>
      </w:pPr>
      <w:r>
        <w:rPr>
          <w:rFonts w:ascii="Times New Roman" w:eastAsia="Georgia" w:hAnsi="Times New Roman" w:cs="Times New Roman"/>
          <w:color w:val="000000" w:themeColor="text1"/>
          <w:sz w:val="24"/>
          <w:lang w:val="sr-Latn-ME" w:eastAsia="en-GB"/>
        </w:rPr>
        <w:t>Nabavka ostale opreme/inventara za zaposlene u iznosu od 5.000</w:t>
      </w:r>
      <w:r w:rsidR="008F6746">
        <w:rPr>
          <w:rFonts w:ascii="Times New Roman" w:eastAsia="Georgia" w:hAnsi="Times New Roman" w:cs="Times New Roman"/>
          <w:color w:val="000000" w:themeColor="text1"/>
          <w:sz w:val="24"/>
          <w:lang w:val="sr-Latn-ME" w:eastAsia="en-GB"/>
        </w:rPr>
        <w:t>,00</w:t>
      </w:r>
      <w:r w:rsidRPr="00DE4F22">
        <w:rPr>
          <w:rFonts w:ascii="Times New Roman" w:eastAsia="Georgia" w:hAnsi="Times New Roman" w:cs="Times New Roman"/>
          <w:color w:val="000000" w:themeColor="text1"/>
          <w:sz w:val="24"/>
          <w:lang w:val="sr-Latn-ME" w:eastAsia="en-GB"/>
        </w:rPr>
        <w:t>€.</w:t>
      </w:r>
    </w:p>
    <w:p w14:paraId="3DB2EAAF" w14:textId="66D02873" w:rsidR="002333DD" w:rsidRPr="00DE4F22" w:rsidRDefault="0072061C" w:rsidP="00005750">
      <w:pPr>
        <w:pStyle w:val="ListParagraph"/>
        <w:numPr>
          <w:ilvl w:val="2"/>
          <w:numId w:val="25"/>
        </w:numPr>
        <w:pBdr>
          <w:top w:val="nil"/>
          <w:left w:val="nil"/>
          <w:bottom w:val="nil"/>
          <w:right w:val="nil"/>
          <w:between w:val="nil"/>
        </w:pBdr>
        <w:spacing w:after="0"/>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t xml:space="preserve">Eko-fond planira nabavku </w:t>
      </w:r>
      <w:r w:rsidRPr="00281842">
        <w:rPr>
          <w:rFonts w:ascii="Times New Roman" w:eastAsia="Georgia" w:hAnsi="Times New Roman" w:cs="Times New Roman"/>
          <w:color w:val="000000"/>
          <w:sz w:val="24"/>
          <w:lang w:val="sr-Latn-ME" w:eastAsia="en-GB"/>
        </w:rPr>
        <w:t>vozila</w:t>
      </w:r>
      <w:r w:rsidR="00E81EB6" w:rsidRPr="00DE4F22">
        <w:rPr>
          <w:rFonts w:ascii="Times New Roman" w:eastAsia="Georgia" w:hAnsi="Times New Roman" w:cs="Times New Roman"/>
          <w:color w:val="000000"/>
          <w:sz w:val="24"/>
          <w:lang w:val="sr-Latn-ME" w:eastAsia="en-GB"/>
        </w:rPr>
        <w:t xml:space="preserve"> </w:t>
      </w:r>
      <w:r w:rsidR="00281842">
        <w:rPr>
          <w:rFonts w:ascii="Times New Roman" w:eastAsia="Georgia" w:hAnsi="Times New Roman" w:cs="Times New Roman"/>
          <w:color w:val="000000"/>
          <w:sz w:val="24"/>
          <w:lang w:val="sr-Latn-ME" w:eastAsia="en-GB"/>
        </w:rPr>
        <w:t xml:space="preserve">sredstvima predvidjenih projektom </w:t>
      </w:r>
      <w:r w:rsidR="00E81EB6" w:rsidRPr="00DE4F22">
        <w:rPr>
          <w:rFonts w:ascii="Times New Roman" w:eastAsia="Georgia" w:hAnsi="Times New Roman" w:cs="Times New Roman"/>
          <w:color w:val="000000"/>
          <w:sz w:val="24"/>
          <w:lang w:val="sr-Latn-ME" w:eastAsia="en-GB"/>
        </w:rPr>
        <w:t>radi lakšeg i efikasnijeg funkcionisanja zaposlenih prilikom realizacije projektnih zadataka</w:t>
      </w:r>
      <w:r w:rsidR="00412175" w:rsidRPr="00DE4F22">
        <w:rPr>
          <w:rFonts w:ascii="Times New Roman" w:eastAsia="Georgia" w:hAnsi="Times New Roman" w:cs="Times New Roman"/>
          <w:color w:val="000000"/>
          <w:sz w:val="24"/>
          <w:lang w:val="sr-Latn-ME" w:eastAsia="en-GB"/>
        </w:rPr>
        <w:t xml:space="preserve"> u iznosu od 50.000,00€.</w:t>
      </w:r>
    </w:p>
    <w:p w14:paraId="13E223BA" w14:textId="7FE6E5AA" w:rsidR="00412175" w:rsidRPr="00DE4F22" w:rsidRDefault="00412175" w:rsidP="00005750">
      <w:pPr>
        <w:pStyle w:val="ListParagraph"/>
        <w:numPr>
          <w:ilvl w:val="2"/>
          <w:numId w:val="25"/>
        </w:numPr>
        <w:pBdr>
          <w:top w:val="nil"/>
          <w:left w:val="nil"/>
          <w:bottom w:val="nil"/>
          <w:right w:val="nil"/>
          <w:between w:val="nil"/>
        </w:pBdr>
        <w:spacing w:after="0"/>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t xml:space="preserve">Uslijed širenja poslovnih aktivnosti planirana je nabavka dodatnih licenci za računovodstveni softver koji koristi Eko-fond, u iznosu od </w:t>
      </w:r>
      <w:r w:rsidR="00443546">
        <w:rPr>
          <w:rFonts w:ascii="Times New Roman" w:eastAsia="Georgia" w:hAnsi="Times New Roman" w:cs="Times New Roman"/>
          <w:color w:val="000000"/>
          <w:sz w:val="24"/>
          <w:lang w:val="sr-Latn-ME" w:eastAsia="en-GB"/>
        </w:rPr>
        <w:t>3</w:t>
      </w:r>
      <w:r w:rsidRPr="00DE4F22">
        <w:rPr>
          <w:rFonts w:ascii="Times New Roman" w:eastAsia="Georgia" w:hAnsi="Times New Roman" w:cs="Times New Roman"/>
          <w:color w:val="000000"/>
          <w:sz w:val="24"/>
          <w:lang w:val="sr-Latn-ME" w:eastAsia="en-GB"/>
        </w:rPr>
        <w:t>.</w:t>
      </w:r>
      <w:r w:rsidR="00443546">
        <w:rPr>
          <w:rFonts w:ascii="Times New Roman" w:eastAsia="Georgia" w:hAnsi="Times New Roman" w:cs="Times New Roman"/>
          <w:color w:val="000000"/>
          <w:sz w:val="24"/>
          <w:lang w:val="sr-Latn-ME" w:eastAsia="en-GB"/>
        </w:rPr>
        <w:t>0</w:t>
      </w:r>
      <w:r w:rsidRPr="00DE4F22">
        <w:rPr>
          <w:rFonts w:ascii="Times New Roman" w:eastAsia="Georgia" w:hAnsi="Times New Roman" w:cs="Times New Roman"/>
          <w:color w:val="000000"/>
          <w:sz w:val="24"/>
          <w:lang w:val="sr-Latn-ME" w:eastAsia="en-GB"/>
        </w:rPr>
        <w:t>00,00€.</w:t>
      </w:r>
    </w:p>
    <w:p w14:paraId="7623011F" w14:textId="53B5F8F4" w:rsidR="001A1D3F" w:rsidRPr="00DE4F22" w:rsidRDefault="001A1D3F" w:rsidP="00005750">
      <w:pPr>
        <w:pStyle w:val="ListParagraph"/>
        <w:numPr>
          <w:ilvl w:val="2"/>
          <w:numId w:val="25"/>
        </w:numPr>
        <w:pBdr>
          <w:top w:val="nil"/>
          <w:left w:val="nil"/>
          <w:bottom w:val="nil"/>
          <w:right w:val="nil"/>
          <w:between w:val="nil"/>
        </w:pBdr>
        <w:spacing w:after="0"/>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t xml:space="preserve">Iznos od </w:t>
      </w:r>
      <w:r w:rsidR="007B3417" w:rsidRPr="00DE4F22">
        <w:rPr>
          <w:rFonts w:ascii="Times New Roman" w:eastAsia="Georgia" w:hAnsi="Times New Roman" w:cs="Times New Roman"/>
          <w:color w:val="000000"/>
          <w:sz w:val="24"/>
          <w:lang w:val="sr-Latn-ME" w:eastAsia="en-GB"/>
        </w:rPr>
        <w:t>35</w:t>
      </w:r>
      <w:r w:rsidRPr="00DE4F22">
        <w:rPr>
          <w:rFonts w:ascii="Times New Roman" w:eastAsia="Georgia" w:hAnsi="Times New Roman" w:cs="Times New Roman"/>
          <w:color w:val="000000"/>
          <w:sz w:val="24"/>
          <w:lang w:val="sr-Latn-ME" w:eastAsia="en-GB"/>
        </w:rPr>
        <w:t>.000,00€</w:t>
      </w:r>
      <w:r w:rsidR="00143D0A" w:rsidRPr="00DE4F22">
        <w:rPr>
          <w:rFonts w:ascii="Times New Roman" w:eastAsia="Georgia" w:hAnsi="Times New Roman" w:cs="Times New Roman"/>
          <w:color w:val="000000"/>
          <w:sz w:val="24"/>
          <w:lang w:val="sr-Latn-ME" w:eastAsia="en-GB"/>
        </w:rPr>
        <w:t xml:space="preserve"> će se</w:t>
      </w:r>
      <w:r w:rsidRPr="00DE4F22">
        <w:rPr>
          <w:rFonts w:ascii="Times New Roman" w:eastAsia="Georgia" w:hAnsi="Times New Roman" w:cs="Times New Roman"/>
          <w:color w:val="000000"/>
          <w:sz w:val="24"/>
          <w:lang w:val="sr-Latn-ME" w:eastAsia="en-GB"/>
        </w:rPr>
        <w:t xml:space="preserve"> iskoristit</w:t>
      </w:r>
      <w:r w:rsidR="00143D0A" w:rsidRPr="00DE4F22">
        <w:rPr>
          <w:rFonts w:ascii="Times New Roman" w:eastAsia="Georgia" w:hAnsi="Times New Roman" w:cs="Times New Roman"/>
          <w:color w:val="000000"/>
          <w:sz w:val="24"/>
          <w:lang w:val="sr-Latn-ME" w:eastAsia="en-GB"/>
        </w:rPr>
        <w:t>i za</w:t>
      </w:r>
      <w:r w:rsidRPr="00DE4F22">
        <w:rPr>
          <w:rFonts w:ascii="Times New Roman" w:eastAsia="Georgia" w:hAnsi="Times New Roman" w:cs="Times New Roman"/>
          <w:color w:val="000000"/>
          <w:sz w:val="24"/>
          <w:lang w:val="sr-Latn-ME" w:eastAsia="en-GB"/>
        </w:rPr>
        <w:t xml:space="preserve"> opremanje poslovnih prostorija i nabavku kancelarijsk</w:t>
      </w:r>
      <w:r w:rsidR="004A06FA" w:rsidRPr="00DE4F22">
        <w:rPr>
          <w:rFonts w:ascii="Times New Roman" w:eastAsia="Georgia" w:hAnsi="Times New Roman" w:cs="Times New Roman"/>
          <w:color w:val="000000"/>
          <w:sz w:val="24"/>
          <w:lang w:val="sr-Latn-ME" w:eastAsia="en-GB"/>
        </w:rPr>
        <w:t>og namještaja.</w:t>
      </w:r>
    </w:p>
    <w:p w14:paraId="65815C7A" w14:textId="0A1E25ED" w:rsidR="00023322" w:rsidRPr="00DE4F22" w:rsidRDefault="00386DAF" w:rsidP="00005750">
      <w:pPr>
        <w:pStyle w:val="ListParagraph"/>
        <w:numPr>
          <w:ilvl w:val="1"/>
          <w:numId w:val="25"/>
        </w:numPr>
        <w:pBdr>
          <w:top w:val="nil"/>
          <w:left w:val="nil"/>
          <w:bottom w:val="nil"/>
          <w:right w:val="nil"/>
          <w:between w:val="nil"/>
        </w:pBdr>
        <w:spacing w:after="0"/>
        <w:rPr>
          <w:rFonts w:ascii="Times New Roman" w:eastAsia="Georgia" w:hAnsi="Times New Roman" w:cs="Times New Roman"/>
          <w:b/>
          <w:bCs/>
          <w:color w:val="000000"/>
          <w:sz w:val="24"/>
          <w:lang w:val="sr-Latn-ME" w:eastAsia="en-GB"/>
        </w:rPr>
      </w:pPr>
      <w:r w:rsidRPr="00DE4F22">
        <w:rPr>
          <w:rFonts w:ascii="Times New Roman" w:eastAsia="Georgia" w:hAnsi="Times New Roman" w:cs="Times New Roman"/>
          <w:b/>
          <w:bCs/>
          <w:color w:val="000000"/>
          <w:sz w:val="24"/>
          <w:lang w:val="sr-Latn-ME" w:eastAsia="en-GB"/>
        </w:rPr>
        <w:t xml:space="preserve">Sredstva neophodna za održavanje opreme planirana su iznosu </w:t>
      </w:r>
      <w:r w:rsidR="000B6B72" w:rsidRPr="00DE4F22">
        <w:rPr>
          <w:rFonts w:ascii="Times New Roman" w:eastAsia="Georgia" w:hAnsi="Times New Roman" w:cs="Times New Roman"/>
          <w:b/>
          <w:bCs/>
          <w:color w:val="000000"/>
          <w:sz w:val="24"/>
          <w:lang w:val="sr-Latn-ME" w:eastAsia="en-GB"/>
        </w:rPr>
        <w:t>5</w:t>
      </w:r>
      <w:r w:rsidR="00412175" w:rsidRPr="00DE4F22">
        <w:rPr>
          <w:rFonts w:ascii="Times New Roman" w:eastAsia="Georgia" w:hAnsi="Times New Roman" w:cs="Times New Roman"/>
          <w:b/>
          <w:bCs/>
          <w:color w:val="000000"/>
          <w:sz w:val="24"/>
          <w:lang w:val="sr-Latn-ME" w:eastAsia="en-GB"/>
        </w:rPr>
        <w:t>.</w:t>
      </w:r>
      <w:r w:rsidR="000B6B72" w:rsidRPr="00DE4F22">
        <w:rPr>
          <w:rFonts w:ascii="Times New Roman" w:eastAsia="Georgia" w:hAnsi="Times New Roman" w:cs="Times New Roman"/>
          <w:b/>
          <w:bCs/>
          <w:color w:val="000000"/>
          <w:sz w:val="24"/>
          <w:lang w:val="sr-Latn-ME" w:eastAsia="en-GB"/>
        </w:rPr>
        <w:t>0</w:t>
      </w:r>
      <w:r w:rsidRPr="00DE4F22">
        <w:rPr>
          <w:rFonts w:ascii="Times New Roman" w:eastAsia="Georgia" w:hAnsi="Times New Roman" w:cs="Times New Roman"/>
          <w:b/>
          <w:bCs/>
          <w:color w:val="000000"/>
          <w:sz w:val="24"/>
          <w:lang w:val="sr-Latn-ME" w:eastAsia="en-GB"/>
        </w:rPr>
        <w:t>00</w:t>
      </w:r>
      <w:r w:rsidR="00412175" w:rsidRPr="00DE4F22">
        <w:rPr>
          <w:rFonts w:ascii="Times New Roman" w:eastAsia="Georgia" w:hAnsi="Times New Roman" w:cs="Times New Roman"/>
          <w:b/>
          <w:bCs/>
          <w:color w:val="000000"/>
          <w:sz w:val="24"/>
          <w:lang w:val="sr-Latn-ME" w:eastAsia="en-GB"/>
        </w:rPr>
        <w:t>,</w:t>
      </w:r>
      <w:r w:rsidRPr="00DE4F22">
        <w:rPr>
          <w:rFonts w:ascii="Times New Roman" w:eastAsia="Georgia" w:hAnsi="Times New Roman" w:cs="Times New Roman"/>
          <w:b/>
          <w:bCs/>
          <w:color w:val="000000"/>
          <w:sz w:val="24"/>
          <w:lang w:val="sr-Latn-ME" w:eastAsia="en-GB"/>
        </w:rPr>
        <w:t>00€.</w:t>
      </w:r>
    </w:p>
    <w:p w14:paraId="284043DD" w14:textId="7A7D88CB" w:rsidR="001A1D3F" w:rsidRPr="00DE4F22" w:rsidRDefault="00386DAF" w:rsidP="000B6B72">
      <w:pPr>
        <w:pStyle w:val="ListParagraph"/>
        <w:pBdr>
          <w:top w:val="nil"/>
          <w:left w:val="nil"/>
          <w:bottom w:val="nil"/>
          <w:right w:val="nil"/>
          <w:between w:val="nil"/>
        </w:pBdr>
        <w:spacing w:after="0"/>
        <w:ind w:firstLine="0"/>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lastRenderedPageBreak/>
        <w:t>Tekuće održavanje tehničke opreme planirano je na osnovu izdataka na održavanju tehničkih sistema u kancelarija</w:t>
      </w:r>
      <w:r w:rsidR="00327C44" w:rsidRPr="00DE4F22">
        <w:rPr>
          <w:rFonts w:ascii="Times New Roman" w:eastAsia="Georgia" w:hAnsi="Times New Roman" w:cs="Times New Roman"/>
          <w:color w:val="000000"/>
          <w:sz w:val="24"/>
          <w:lang w:val="sr-Latn-ME" w:eastAsia="en-GB"/>
        </w:rPr>
        <w:t>ma</w:t>
      </w:r>
      <w:r w:rsidRPr="00DE4F22">
        <w:rPr>
          <w:rFonts w:ascii="Times New Roman" w:eastAsia="Georgia" w:hAnsi="Times New Roman" w:cs="Times New Roman"/>
          <w:color w:val="000000"/>
          <w:sz w:val="24"/>
          <w:lang w:val="sr-Latn-ME" w:eastAsia="en-GB"/>
        </w:rPr>
        <w:t xml:space="preserve"> u kojima se vrši osnovna </w:t>
      </w:r>
      <w:r w:rsidR="008454D9" w:rsidRPr="00DE4F22">
        <w:rPr>
          <w:rFonts w:ascii="Times New Roman" w:eastAsia="Georgia" w:hAnsi="Times New Roman" w:cs="Times New Roman"/>
          <w:color w:val="000000"/>
          <w:sz w:val="24"/>
          <w:lang w:val="sr-Latn-ME" w:eastAsia="en-GB"/>
        </w:rPr>
        <w:t>djelatnost</w:t>
      </w:r>
      <w:r w:rsidRPr="00DE4F22">
        <w:rPr>
          <w:rFonts w:ascii="Times New Roman" w:eastAsia="Georgia" w:hAnsi="Times New Roman" w:cs="Times New Roman"/>
          <w:color w:val="000000"/>
          <w:sz w:val="24"/>
          <w:lang w:val="sr-Latn-ME" w:eastAsia="en-GB"/>
        </w:rPr>
        <w:t xml:space="preserve"> u ukupnom iznosu od </w:t>
      </w:r>
      <w:r w:rsidR="000B6B72" w:rsidRPr="00DE4F22">
        <w:rPr>
          <w:rFonts w:ascii="Times New Roman" w:eastAsia="Georgia" w:hAnsi="Times New Roman" w:cs="Times New Roman"/>
          <w:color w:val="000000"/>
          <w:sz w:val="24"/>
          <w:lang w:val="sr-Latn-ME" w:eastAsia="en-GB"/>
        </w:rPr>
        <w:t>5</w:t>
      </w:r>
      <w:r w:rsidR="00412175" w:rsidRPr="00DE4F22">
        <w:rPr>
          <w:rFonts w:ascii="Times New Roman" w:eastAsia="Georgia" w:hAnsi="Times New Roman" w:cs="Times New Roman"/>
          <w:color w:val="000000"/>
          <w:sz w:val="24"/>
          <w:lang w:val="sr-Latn-ME" w:eastAsia="en-GB"/>
        </w:rPr>
        <w:t>.</w:t>
      </w:r>
      <w:r w:rsidR="000B6B72" w:rsidRPr="00DE4F22">
        <w:rPr>
          <w:rFonts w:ascii="Times New Roman" w:eastAsia="Georgia" w:hAnsi="Times New Roman" w:cs="Times New Roman"/>
          <w:color w:val="000000"/>
          <w:sz w:val="24"/>
          <w:lang w:val="sr-Latn-ME" w:eastAsia="en-GB"/>
        </w:rPr>
        <w:t>0</w:t>
      </w:r>
      <w:r w:rsidRPr="00DE4F22">
        <w:rPr>
          <w:rFonts w:ascii="Times New Roman" w:eastAsia="Georgia" w:hAnsi="Times New Roman" w:cs="Times New Roman"/>
          <w:color w:val="000000"/>
          <w:sz w:val="24"/>
          <w:lang w:val="sr-Latn-ME" w:eastAsia="en-GB"/>
        </w:rPr>
        <w:t>00</w:t>
      </w:r>
      <w:r w:rsidR="00412175" w:rsidRPr="00DE4F22">
        <w:rPr>
          <w:rFonts w:ascii="Times New Roman" w:eastAsia="Georgia" w:hAnsi="Times New Roman" w:cs="Times New Roman"/>
          <w:color w:val="000000"/>
          <w:sz w:val="24"/>
          <w:lang w:val="sr-Latn-ME" w:eastAsia="en-GB"/>
        </w:rPr>
        <w:t>,</w:t>
      </w:r>
      <w:r w:rsidRPr="00DE4F22">
        <w:rPr>
          <w:rFonts w:ascii="Times New Roman" w:eastAsia="Georgia" w:hAnsi="Times New Roman" w:cs="Times New Roman"/>
          <w:color w:val="000000"/>
          <w:sz w:val="24"/>
          <w:lang w:val="sr-Latn-ME" w:eastAsia="en-GB"/>
        </w:rPr>
        <w:t>00€.</w:t>
      </w:r>
    </w:p>
    <w:p w14:paraId="3AE05CD7" w14:textId="77777777" w:rsidR="001B4E20" w:rsidRPr="00DE4F22" w:rsidRDefault="001B4E20" w:rsidP="001B4E20">
      <w:pPr>
        <w:pBdr>
          <w:top w:val="nil"/>
          <w:left w:val="nil"/>
          <w:bottom w:val="nil"/>
          <w:right w:val="nil"/>
          <w:between w:val="nil"/>
        </w:pBdr>
        <w:rPr>
          <w:rFonts w:eastAsia="Georgia"/>
          <w:b/>
          <w:bCs/>
          <w:color w:val="000000"/>
          <w:szCs w:val="32"/>
        </w:rPr>
      </w:pPr>
    </w:p>
    <w:p w14:paraId="4C567D32" w14:textId="2E326683" w:rsidR="001B4E20" w:rsidRPr="00DE4F22" w:rsidRDefault="00386DAF" w:rsidP="009E74B1">
      <w:pPr>
        <w:pStyle w:val="Heading2"/>
        <w:numPr>
          <w:ilvl w:val="0"/>
          <w:numId w:val="25"/>
        </w:numPr>
        <w:rPr>
          <w:rFonts w:ascii="Times New Roman" w:eastAsia="Georgia" w:hAnsi="Times New Roman" w:cs="Times New Roman"/>
          <w:b/>
          <w:bCs/>
          <w:color w:val="000000"/>
          <w:sz w:val="24"/>
          <w:szCs w:val="32"/>
          <w:lang w:eastAsia="hr-HR"/>
        </w:rPr>
      </w:pPr>
      <w:bookmarkStart w:id="7" w:name="_Toc195614775"/>
      <w:r w:rsidRPr="00DE4F22">
        <w:rPr>
          <w:rFonts w:ascii="Times New Roman" w:eastAsia="Georgia" w:hAnsi="Times New Roman" w:cs="Times New Roman"/>
          <w:b/>
          <w:bCs/>
          <w:color w:val="000000"/>
          <w:sz w:val="24"/>
          <w:szCs w:val="32"/>
          <w:lang w:eastAsia="hr-HR"/>
        </w:rPr>
        <w:t>RASHODI TEKUĆEG POSLOVANJA</w:t>
      </w:r>
      <w:bookmarkEnd w:id="7"/>
    </w:p>
    <w:p w14:paraId="2D0DBFE1" w14:textId="328E6217" w:rsidR="00DA7FA2" w:rsidRPr="00DE4F22" w:rsidRDefault="00386DAF" w:rsidP="00005750">
      <w:pPr>
        <w:pStyle w:val="ListParagraph"/>
        <w:numPr>
          <w:ilvl w:val="1"/>
          <w:numId w:val="25"/>
        </w:numPr>
        <w:pBdr>
          <w:top w:val="nil"/>
          <w:left w:val="nil"/>
          <w:bottom w:val="nil"/>
          <w:right w:val="nil"/>
          <w:between w:val="nil"/>
        </w:pBdr>
        <w:spacing w:after="0"/>
        <w:rPr>
          <w:rFonts w:ascii="Times New Roman" w:eastAsia="Georgia" w:hAnsi="Times New Roman" w:cs="Times New Roman"/>
          <w:color w:val="000000"/>
          <w:sz w:val="24"/>
          <w:szCs w:val="32"/>
          <w:lang w:val="sr-Latn-ME"/>
        </w:rPr>
      </w:pPr>
      <w:r w:rsidRPr="00DE4F22">
        <w:rPr>
          <w:rFonts w:ascii="Times New Roman" w:eastAsia="Georgia" w:hAnsi="Times New Roman" w:cs="Times New Roman"/>
          <w:b/>
          <w:bCs/>
          <w:color w:val="000000"/>
          <w:sz w:val="24"/>
          <w:szCs w:val="32"/>
          <w:lang w:val="sr-Latn-ME"/>
        </w:rPr>
        <w:t xml:space="preserve">Troškovi materijala </w:t>
      </w:r>
      <w:r w:rsidRPr="00DE4F22">
        <w:rPr>
          <w:rFonts w:ascii="Times New Roman" w:eastAsia="Georgia" w:hAnsi="Times New Roman" w:cs="Times New Roman"/>
          <w:color w:val="000000"/>
          <w:sz w:val="24"/>
          <w:szCs w:val="32"/>
          <w:lang w:val="sr-Latn-ME"/>
        </w:rPr>
        <w:t xml:space="preserve">planirani su </w:t>
      </w:r>
      <w:r w:rsidR="00023FBB" w:rsidRPr="00DE4F22">
        <w:rPr>
          <w:rFonts w:ascii="Times New Roman" w:eastAsia="Georgia" w:hAnsi="Times New Roman" w:cs="Times New Roman"/>
          <w:color w:val="000000"/>
          <w:sz w:val="24"/>
          <w:szCs w:val="32"/>
          <w:lang w:val="sr-Latn-ME"/>
        </w:rPr>
        <w:t xml:space="preserve">u </w:t>
      </w:r>
      <w:r w:rsidRPr="00DE4F22">
        <w:rPr>
          <w:rFonts w:ascii="Times New Roman" w:eastAsia="Georgia" w:hAnsi="Times New Roman" w:cs="Times New Roman"/>
          <w:color w:val="000000"/>
          <w:sz w:val="24"/>
          <w:szCs w:val="32"/>
          <w:lang w:val="sr-Latn-ME"/>
        </w:rPr>
        <w:t xml:space="preserve">ukupnom iznosu </w:t>
      </w:r>
      <w:r w:rsidR="000074D9" w:rsidRPr="00DE4F22">
        <w:rPr>
          <w:rFonts w:ascii="Times New Roman" w:eastAsia="Georgia" w:hAnsi="Times New Roman" w:cs="Times New Roman"/>
          <w:color w:val="000000"/>
          <w:sz w:val="24"/>
          <w:szCs w:val="32"/>
          <w:lang w:val="sr-Latn-ME"/>
        </w:rPr>
        <w:t xml:space="preserve">od </w:t>
      </w:r>
      <w:r w:rsidR="00443546">
        <w:rPr>
          <w:rFonts w:ascii="Times New Roman" w:eastAsia="Georgia" w:hAnsi="Times New Roman" w:cs="Times New Roman"/>
          <w:b/>
          <w:bCs/>
          <w:color w:val="000000"/>
          <w:sz w:val="24"/>
          <w:szCs w:val="32"/>
          <w:lang w:val="sr-Latn-ME"/>
        </w:rPr>
        <w:t>45</w:t>
      </w:r>
      <w:r w:rsidR="00412175" w:rsidRPr="00DE4F22">
        <w:rPr>
          <w:rFonts w:ascii="Times New Roman" w:eastAsia="Georgia" w:hAnsi="Times New Roman" w:cs="Times New Roman"/>
          <w:b/>
          <w:bCs/>
          <w:color w:val="000000"/>
          <w:sz w:val="24"/>
          <w:szCs w:val="32"/>
          <w:lang w:val="sr-Latn-ME"/>
        </w:rPr>
        <w:t>.</w:t>
      </w:r>
      <w:r w:rsidR="00443546">
        <w:rPr>
          <w:rFonts w:ascii="Times New Roman" w:eastAsia="Georgia" w:hAnsi="Times New Roman" w:cs="Times New Roman"/>
          <w:b/>
          <w:bCs/>
          <w:color w:val="000000"/>
          <w:sz w:val="24"/>
          <w:szCs w:val="32"/>
          <w:lang w:val="sr-Latn-ME"/>
        </w:rPr>
        <w:t>0</w:t>
      </w:r>
      <w:r w:rsidRPr="00DE4F22">
        <w:rPr>
          <w:rFonts w:ascii="Times New Roman" w:eastAsia="Georgia" w:hAnsi="Times New Roman" w:cs="Times New Roman"/>
          <w:b/>
          <w:bCs/>
          <w:color w:val="000000"/>
          <w:sz w:val="24"/>
          <w:szCs w:val="32"/>
          <w:lang w:val="sr-Latn-ME"/>
        </w:rPr>
        <w:t>00</w:t>
      </w:r>
      <w:r w:rsidR="00412175" w:rsidRPr="00DE4F22">
        <w:rPr>
          <w:rFonts w:ascii="Times New Roman" w:eastAsia="Georgia" w:hAnsi="Times New Roman" w:cs="Times New Roman"/>
          <w:b/>
          <w:bCs/>
          <w:color w:val="000000"/>
          <w:sz w:val="24"/>
          <w:szCs w:val="32"/>
          <w:lang w:val="sr-Latn-ME"/>
        </w:rPr>
        <w:t>,</w:t>
      </w:r>
      <w:r w:rsidRPr="00DE4F22">
        <w:rPr>
          <w:rFonts w:ascii="Times New Roman" w:eastAsia="Georgia" w:hAnsi="Times New Roman" w:cs="Times New Roman"/>
          <w:b/>
          <w:bCs/>
          <w:color w:val="000000"/>
          <w:sz w:val="24"/>
          <w:szCs w:val="32"/>
          <w:lang w:val="sr-Latn-ME"/>
        </w:rPr>
        <w:t>00€</w:t>
      </w:r>
      <w:r w:rsidR="000074D9" w:rsidRPr="00DE4F22">
        <w:rPr>
          <w:rFonts w:ascii="Times New Roman" w:eastAsia="Georgia" w:hAnsi="Times New Roman" w:cs="Times New Roman"/>
          <w:b/>
          <w:bCs/>
          <w:color w:val="000000"/>
          <w:sz w:val="24"/>
          <w:szCs w:val="32"/>
          <w:lang w:val="sr-Latn-ME"/>
        </w:rPr>
        <w:t>.</w:t>
      </w:r>
      <w:r w:rsidR="00DA7FA2" w:rsidRPr="00DE4F22">
        <w:rPr>
          <w:rFonts w:ascii="Times New Roman" w:eastAsia="Georgia" w:hAnsi="Times New Roman" w:cs="Times New Roman"/>
          <w:color w:val="000000"/>
          <w:sz w:val="24"/>
          <w:szCs w:val="32"/>
          <w:lang w:val="sr-Latn-ME"/>
        </w:rPr>
        <w:t xml:space="preserve"> Projektovani su na osnovu </w:t>
      </w:r>
      <w:r w:rsidR="00026DAB" w:rsidRPr="00DE4F22">
        <w:rPr>
          <w:rFonts w:ascii="Times New Roman" w:eastAsia="Georgia" w:hAnsi="Times New Roman" w:cs="Times New Roman"/>
          <w:color w:val="000000"/>
          <w:sz w:val="24"/>
          <w:szCs w:val="32"/>
          <w:lang w:val="sr-Latn-ME"/>
        </w:rPr>
        <w:t>izdataka za</w:t>
      </w:r>
      <w:r w:rsidR="00DA7FA2" w:rsidRPr="00DE4F22">
        <w:rPr>
          <w:rFonts w:ascii="Times New Roman" w:eastAsia="Georgia" w:hAnsi="Times New Roman" w:cs="Times New Roman"/>
          <w:color w:val="000000"/>
          <w:sz w:val="24"/>
          <w:szCs w:val="32"/>
          <w:lang w:val="sr-Latn-ME"/>
        </w:rPr>
        <w:t xml:space="preserve"> materijal u toku 202</w:t>
      </w:r>
      <w:r w:rsidR="00443546">
        <w:rPr>
          <w:rFonts w:ascii="Times New Roman" w:eastAsia="Georgia" w:hAnsi="Times New Roman" w:cs="Times New Roman"/>
          <w:color w:val="000000"/>
          <w:sz w:val="24"/>
          <w:szCs w:val="32"/>
          <w:lang w:val="sr-Latn-ME"/>
        </w:rPr>
        <w:t>4</w:t>
      </w:r>
      <w:r w:rsidR="00DA7FA2" w:rsidRPr="00DE4F22">
        <w:rPr>
          <w:rFonts w:ascii="Times New Roman" w:eastAsia="Georgia" w:hAnsi="Times New Roman" w:cs="Times New Roman"/>
          <w:color w:val="000000"/>
          <w:sz w:val="24"/>
          <w:szCs w:val="32"/>
          <w:lang w:val="sr-Latn-ME"/>
        </w:rPr>
        <w:t>. godine uvećanih srazmjern</w:t>
      </w:r>
      <w:r w:rsidR="00026DAB" w:rsidRPr="00DE4F22">
        <w:rPr>
          <w:rFonts w:ascii="Times New Roman" w:eastAsia="Georgia" w:hAnsi="Times New Roman" w:cs="Times New Roman"/>
          <w:color w:val="000000"/>
          <w:sz w:val="24"/>
          <w:szCs w:val="32"/>
          <w:lang w:val="sr-Latn-ME"/>
        </w:rPr>
        <w:t>o</w:t>
      </w:r>
      <w:r w:rsidR="00DA7FA2" w:rsidRPr="00DE4F22">
        <w:rPr>
          <w:rFonts w:ascii="Times New Roman" w:eastAsia="Georgia" w:hAnsi="Times New Roman" w:cs="Times New Roman"/>
          <w:color w:val="000000"/>
          <w:sz w:val="24"/>
          <w:szCs w:val="32"/>
          <w:lang w:val="sr-Latn-ME"/>
        </w:rPr>
        <w:t xml:space="preserve"> očekivan</w:t>
      </w:r>
      <w:r w:rsidR="00026DAB" w:rsidRPr="00DE4F22">
        <w:rPr>
          <w:rFonts w:ascii="Times New Roman" w:eastAsia="Georgia" w:hAnsi="Times New Roman" w:cs="Times New Roman"/>
          <w:color w:val="000000"/>
          <w:sz w:val="24"/>
          <w:szCs w:val="32"/>
          <w:lang w:val="sr-Latn-ME"/>
        </w:rPr>
        <w:t xml:space="preserve">om </w:t>
      </w:r>
      <w:r w:rsidR="00DA7FA2" w:rsidRPr="00DE4F22">
        <w:rPr>
          <w:rFonts w:ascii="Times New Roman" w:eastAsia="Georgia" w:hAnsi="Times New Roman" w:cs="Times New Roman"/>
          <w:color w:val="000000"/>
          <w:sz w:val="24"/>
          <w:szCs w:val="32"/>
          <w:lang w:val="sr-Latn-ME"/>
        </w:rPr>
        <w:t>obim</w:t>
      </w:r>
      <w:r w:rsidR="00026DAB" w:rsidRPr="00DE4F22">
        <w:rPr>
          <w:rFonts w:ascii="Times New Roman" w:eastAsia="Georgia" w:hAnsi="Times New Roman" w:cs="Times New Roman"/>
          <w:color w:val="000000"/>
          <w:sz w:val="24"/>
          <w:szCs w:val="32"/>
          <w:lang w:val="sr-Latn-ME"/>
        </w:rPr>
        <w:t>u</w:t>
      </w:r>
      <w:r w:rsidR="00DA7FA2" w:rsidRPr="00DE4F22">
        <w:rPr>
          <w:rFonts w:ascii="Times New Roman" w:eastAsia="Georgia" w:hAnsi="Times New Roman" w:cs="Times New Roman"/>
          <w:color w:val="000000"/>
          <w:sz w:val="24"/>
          <w:szCs w:val="32"/>
          <w:lang w:val="sr-Latn-ME"/>
        </w:rPr>
        <w:t xml:space="preserve"> posla u 202</w:t>
      </w:r>
      <w:r w:rsidR="00443546">
        <w:rPr>
          <w:rFonts w:ascii="Times New Roman" w:eastAsia="Georgia" w:hAnsi="Times New Roman" w:cs="Times New Roman"/>
          <w:color w:val="000000"/>
          <w:sz w:val="24"/>
          <w:szCs w:val="32"/>
          <w:lang w:val="sr-Latn-ME"/>
        </w:rPr>
        <w:t>5</w:t>
      </w:r>
      <w:r w:rsidR="00DA7FA2" w:rsidRPr="00DE4F22">
        <w:rPr>
          <w:rFonts w:ascii="Times New Roman" w:eastAsia="Georgia" w:hAnsi="Times New Roman" w:cs="Times New Roman"/>
          <w:color w:val="000000"/>
          <w:sz w:val="24"/>
          <w:szCs w:val="32"/>
          <w:lang w:val="sr-Latn-ME"/>
        </w:rPr>
        <w:t>. godini, i obuhvataju:</w:t>
      </w:r>
    </w:p>
    <w:p w14:paraId="0386F6FB" w14:textId="674445AF" w:rsidR="00DA7FA2" w:rsidRPr="00DE4F22" w:rsidRDefault="00DA7FA2" w:rsidP="00005750">
      <w:pPr>
        <w:pStyle w:val="ListParagraph"/>
        <w:numPr>
          <w:ilvl w:val="2"/>
          <w:numId w:val="25"/>
        </w:numPr>
        <w:pBdr>
          <w:top w:val="nil"/>
          <w:left w:val="nil"/>
          <w:bottom w:val="nil"/>
          <w:right w:val="nil"/>
          <w:between w:val="nil"/>
        </w:pBdr>
        <w:spacing w:after="0"/>
        <w:rPr>
          <w:rFonts w:ascii="Times New Roman" w:eastAsia="Georgia" w:hAnsi="Times New Roman" w:cs="Times New Roman"/>
          <w:color w:val="000000"/>
          <w:sz w:val="28"/>
          <w:szCs w:val="36"/>
          <w:lang w:val="sr-Latn-ME"/>
        </w:rPr>
      </w:pPr>
      <w:r w:rsidRPr="00DE4F22">
        <w:rPr>
          <w:rFonts w:ascii="Times New Roman" w:eastAsia="Georgia" w:hAnsi="Times New Roman" w:cs="Times New Roman"/>
          <w:color w:val="000000"/>
          <w:sz w:val="24"/>
          <w:szCs w:val="32"/>
          <w:lang w:val="sr-Latn-ME"/>
        </w:rPr>
        <w:t>T</w:t>
      </w:r>
      <w:r w:rsidR="009C2EB0" w:rsidRPr="00DE4F22">
        <w:rPr>
          <w:rFonts w:ascii="Times New Roman" w:eastAsia="Georgia" w:hAnsi="Times New Roman" w:cs="Times New Roman"/>
          <w:color w:val="000000"/>
          <w:sz w:val="24"/>
          <w:szCs w:val="32"/>
          <w:lang w:val="sr-Latn-ME"/>
        </w:rPr>
        <w:t xml:space="preserve">roškove kancelarijskog materijala u iznosu od </w:t>
      </w:r>
      <w:r w:rsidR="00B65222" w:rsidRPr="00DE4F22">
        <w:rPr>
          <w:rFonts w:ascii="Times New Roman" w:eastAsia="Georgia" w:hAnsi="Times New Roman" w:cs="Times New Roman"/>
          <w:color w:val="000000"/>
          <w:sz w:val="24"/>
          <w:szCs w:val="32"/>
          <w:lang w:val="sr-Latn-ME"/>
        </w:rPr>
        <w:t>20</w:t>
      </w:r>
      <w:r w:rsidR="00412175" w:rsidRPr="00DE4F22">
        <w:rPr>
          <w:rFonts w:ascii="Times New Roman" w:eastAsia="Georgia" w:hAnsi="Times New Roman" w:cs="Times New Roman"/>
          <w:color w:val="000000"/>
          <w:sz w:val="24"/>
          <w:szCs w:val="32"/>
          <w:lang w:val="sr-Latn-ME"/>
        </w:rPr>
        <w:t>.</w:t>
      </w:r>
      <w:r w:rsidRPr="00DE4F22">
        <w:rPr>
          <w:rFonts w:ascii="Times New Roman" w:eastAsia="Georgia" w:hAnsi="Times New Roman" w:cs="Times New Roman"/>
          <w:color w:val="000000"/>
          <w:sz w:val="24"/>
          <w:szCs w:val="32"/>
          <w:lang w:val="sr-Latn-ME"/>
        </w:rPr>
        <w:t>000</w:t>
      </w:r>
      <w:r w:rsidR="00412175" w:rsidRPr="00DE4F22">
        <w:rPr>
          <w:rFonts w:ascii="Times New Roman" w:eastAsia="Georgia" w:hAnsi="Times New Roman" w:cs="Times New Roman"/>
          <w:color w:val="000000"/>
          <w:sz w:val="24"/>
          <w:szCs w:val="32"/>
          <w:lang w:val="sr-Latn-ME"/>
        </w:rPr>
        <w:t>,00</w:t>
      </w:r>
      <w:r w:rsidR="009C2EB0" w:rsidRPr="00DE4F22">
        <w:rPr>
          <w:rFonts w:ascii="Times New Roman" w:eastAsia="Georgia" w:hAnsi="Times New Roman" w:cs="Times New Roman"/>
          <w:color w:val="000000"/>
          <w:sz w:val="24"/>
          <w:szCs w:val="32"/>
          <w:lang w:val="sr-Latn-ME"/>
        </w:rPr>
        <w:t>€</w:t>
      </w:r>
      <w:r w:rsidRPr="00DE4F22">
        <w:rPr>
          <w:rFonts w:ascii="Times New Roman" w:eastAsia="Georgia" w:hAnsi="Times New Roman" w:cs="Times New Roman"/>
          <w:color w:val="000000"/>
          <w:sz w:val="24"/>
          <w:szCs w:val="32"/>
          <w:lang w:val="sr-Latn-ME"/>
        </w:rPr>
        <w:t>;</w:t>
      </w:r>
    </w:p>
    <w:p w14:paraId="6BBD9F4C" w14:textId="73AF5AE7" w:rsidR="00C27CD4" w:rsidRPr="00DE4F22" w:rsidRDefault="00DA7FA2" w:rsidP="00005750">
      <w:pPr>
        <w:pStyle w:val="ListParagraph"/>
        <w:numPr>
          <w:ilvl w:val="2"/>
          <w:numId w:val="25"/>
        </w:numPr>
        <w:pBdr>
          <w:top w:val="nil"/>
          <w:left w:val="nil"/>
          <w:bottom w:val="nil"/>
          <w:right w:val="nil"/>
          <w:between w:val="nil"/>
        </w:pBdr>
        <w:spacing w:after="0"/>
        <w:rPr>
          <w:rFonts w:ascii="Times New Roman" w:eastAsia="Georgia" w:hAnsi="Times New Roman" w:cs="Times New Roman"/>
          <w:color w:val="000000"/>
          <w:sz w:val="28"/>
          <w:szCs w:val="36"/>
          <w:lang w:val="sr-Latn-ME"/>
        </w:rPr>
      </w:pPr>
      <w:r w:rsidRPr="00DE4F22">
        <w:rPr>
          <w:rFonts w:ascii="Times New Roman" w:eastAsia="Georgia" w:hAnsi="Times New Roman" w:cs="Times New Roman"/>
          <w:color w:val="000000"/>
          <w:sz w:val="24"/>
          <w:szCs w:val="32"/>
          <w:lang w:val="sr-Latn-ME"/>
        </w:rPr>
        <w:t>T</w:t>
      </w:r>
      <w:r w:rsidR="009C2EB0" w:rsidRPr="00DE4F22">
        <w:rPr>
          <w:rFonts w:ascii="Times New Roman" w:eastAsia="Georgia" w:hAnsi="Times New Roman" w:cs="Times New Roman"/>
          <w:color w:val="000000"/>
          <w:sz w:val="24"/>
          <w:szCs w:val="32"/>
          <w:lang w:val="sr-Latn-ME"/>
        </w:rPr>
        <w:t xml:space="preserve">rošak materijala za održavanje higijene u iznosu od </w:t>
      </w:r>
      <w:r w:rsidR="00B65222" w:rsidRPr="00DE4F22">
        <w:rPr>
          <w:rFonts w:ascii="Times New Roman" w:eastAsia="Georgia" w:hAnsi="Times New Roman" w:cs="Times New Roman"/>
          <w:color w:val="000000"/>
          <w:sz w:val="24"/>
          <w:szCs w:val="32"/>
          <w:lang w:val="sr-Latn-ME"/>
        </w:rPr>
        <w:t>5</w:t>
      </w:r>
      <w:r w:rsidR="00412175" w:rsidRPr="00DE4F22">
        <w:rPr>
          <w:rFonts w:ascii="Times New Roman" w:eastAsia="Georgia" w:hAnsi="Times New Roman" w:cs="Times New Roman"/>
          <w:color w:val="000000"/>
          <w:sz w:val="24"/>
          <w:szCs w:val="32"/>
          <w:lang w:val="sr-Latn-ME"/>
        </w:rPr>
        <w:t>.</w:t>
      </w:r>
      <w:r w:rsidR="00B65222" w:rsidRPr="00DE4F22">
        <w:rPr>
          <w:rFonts w:ascii="Times New Roman" w:eastAsia="Georgia" w:hAnsi="Times New Roman" w:cs="Times New Roman"/>
          <w:color w:val="000000"/>
          <w:sz w:val="24"/>
          <w:szCs w:val="32"/>
          <w:lang w:val="sr-Latn-ME"/>
        </w:rPr>
        <w:t>0</w:t>
      </w:r>
      <w:r w:rsidR="00C27CD4" w:rsidRPr="00DE4F22">
        <w:rPr>
          <w:rFonts w:ascii="Times New Roman" w:eastAsia="Georgia" w:hAnsi="Times New Roman" w:cs="Times New Roman"/>
          <w:color w:val="000000"/>
          <w:sz w:val="24"/>
          <w:szCs w:val="32"/>
          <w:lang w:val="sr-Latn-ME"/>
        </w:rPr>
        <w:t>00</w:t>
      </w:r>
      <w:r w:rsidR="00412175" w:rsidRPr="00DE4F22">
        <w:rPr>
          <w:rFonts w:ascii="Times New Roman" w:eastAsia="Georgia" w:hAnsi="Times New Roman" w:cs="Times New Roman"/>
          <w:color w:val="000000"/>
          <w:sz w:val="24"/>
          <w:szCs w:val="32"/>
          <w:lang w:val="sr-Latn-ME"/>
        </w:rPr>
        <w:t>,</w:t>
      </w:r>
      <w:r w:rsidR="00C27CD4" w:rsidRPr="00DE4F22">
        <w:rPr>
          <w:rFonts w:ascii="Times New Roman" w:eastAsia="Georgia" w:hAnsi="Times New Roman" w:cs="Times New Roman"/>
          <w:color w:val="000000"/>
          <w:sz w:val="24"/>
          <w:szCs w:val="32"/>
          <w:lang w:val="sr-Latn-ME"/>
        </w:rPr>
        <w:t>00</w:t>
      </w:r>
      <w:r w:rsidR="009C2EB0" w:rsidRPr="00DE4F22">
        <w:rPr>
          <w:rFonts w:ascii="Times New Roman" w:eastAsia="Georgia" w:hAnsi="Times New Roman" w:cs="Times New Roman"/>
          <w:color w:val="000000"/>
          <w:sz w:val="24"/>
          <w:szCs w:val="32"/>
          <w:lang w:val="sr-Latn-ME"/>
        </w:rPr>
        <w:t xml:space="preserve">€; </w:t>
      </w:r>
    </w:p>
    <w:p w14:paraId="64951594" w14:textId="74F08DCA" w:rsidR="00C27CD4" w:rsidRPr="00DE4F22" w:rsidRDefault="00C27CD4" w:rsidP="00005750">
      <w:pPr>
        <w:pStyle w:val="ListParagraph"/>
        <w:numPr>
          <w:ilvl w:val="2"/>
          <w:numId w:val="25"/>
        </w:numPr>
        <w:pBdr>
          <w:top w:val="nil"/>
          <w:left w:val="nil"/>
          <w:bottom w:val="nil"/>
          <w:right w:val="nil"/>
          <w:between w:val="nil"/>
        </w:pBdr>
        <w:spacing w:after="0"/>
        <w:rPr>
          <w:rFonts w:ascii="Times New Roman" w:eastAsia="Georgia" w:hAnsi="Times New Roman" w:cs="Times New Roman"/>
          <w:color w:val="000000"/>
          <w:sz w:val="28"/>
          <w:szCs w:val="36"/>
          <w:lang w:val="sr-Latn-ME"/>
        </w:rPr>
      </w:pPr>
      <w:r w:rsidRPr="00DE4F22">
        <w:rPr>
          <w:rFonts w:ascii="Times New Roman" w:eastAsia="Georgia" w:hAnsi="Times New Roman" w:cs="Times New Roman"/>
          <w:color w:val="000000"/>
          <w:sz w:val="24"/>
          <w:szCs w:val="32"/>
          <w:lang w:val="sr-Latn-ME"/>
        </w:rPr>
        <w:t>T</w:t>
      </w:r>
      <w:r w:rsidR="009C2EB0" w:rsidRPr="00DE4F22">
        <w:rPr>
          <w:rFonts w:ascii="Times New Roman" w:eastAsia="Georgia" w:hAnsi="Times New Roman" w:cs="Times New Roman"/>
          <w:color w:val="000000"/>
          <w:sz w:val="24"/>
          <w:szCs w:val="32"/>
          <w:lang w:val="sr-Latn-ME"/>
        </w:rPr>
        <w:t xml:space="preserve">roškove za gorivo u iznosu od </w:t>
      </w:r>
      <w:r w:rsidR="00443546">
        <w:rPr>
          <w:rFonts w:ascii="Times New Roman" w:eastAsia="Georgia" w:hAnsi="Times New Roman" w:cs="Times New Roman"/>
          <w:color w:val="000000"/>
          <w:sz w:val="24"/>
          <w:szCs w:val="32"/>
          <w:lang w:val="sr-Latn-ME"/>
        </w:rPr>
        <w:t>10</w:t>
      </w:r>
      <w:r w:rsidR="00412175" w:rsidRPr="00DE4F22">
        <w:rPr>
          <w:rFonts w:ascii="Times New Roman" w:eastAsia="Georgia" w:hAnsi="Times New Roman" w:cs="Times New Roman"/>
          <w:color w:val="000000"/>
          <w:sz w:val="24"/>
          <w:szCs w:val="32"/>
          <w:lang w:val="sr-Latn-ME"/>
        </w:rPr>
        <w:t>.</w:t>
      </w:r>
      <w:r w:rsidRPr="00DE4F22">
        <w:rPr>
          <w:rFonts w:ascii="Times New Roman" w:eastAsia="Georgia" w:hAnsi="Times New Roman" w:cs="Times New Roman"/>
          <w:color w:val="000000"/>
          <w:sz w:val="24"/>
          <w:szCs w:val="32"/>
          <w:lang w:val="sr-Latn-ME"/>
        </w:rPr>
        <w:t>000</w:t>
      </w:r>
      <w:r w:rsidR="00412175" w:rsidRPr="00DE4F22">
        <w:rPr>
          <w:rFonts w:ascii="Times New Roman" w:eastAsia="Georgia" w:hAnsi="Times New Roman" w:cs="Times New Roman"/>
          <w:color w:val="000000"/>
          <w:sz w:val="24"/>
          <w:szCs w:val="32"/>
          <w:lang w:val="sr-Latn-ME"/>
        </w:rPr>
        <w:t>,</w:t>
      </w:r>
      <w:r w:rsidRPr="00DE4F22">
        <w:rPr>
          <w:rFonts w:ascii="Times New Roman" w:eastAsia="Georgia" w:hAnsi="Times New Roman" w:cs="Times New Roman"/>
          <w:color w:val="000000"/>
          <w:sz w:val="24"/>
          <w:szCs w:val="32"/>
          <w:lang w:val="sr-Latn-ME"/>
        </w:rPr>
        <w:t>00</w:t>
      </w:r>
      <w:r w:rsidR="009C2EB0" w:rsidRPr="00DE4F22">
        <w:rPr>
          <w:rFonts w:ascii="Times New Roman" w:eastAsia="Georgia" w:hAnsi="Times New Roman" w:cs="Times New Roman"/>
          <w:color w:val="000000"/>
          <w:sz w:val="24"/>
          <w:szCs w:val="32"/>
          <w:lang w:val="sr-Latn-ME"/>
        </w:rPr>
        <w:t>€;</w:t>
      </w:r>
    </w:p>
    <w:p w14:paraId="4669A90E" w14:textId="5CFDA5F1" w:rsidR="00C27CD4" w:rsidRPr="00DE4F22" w:rsidRDefault="00C27CD4" w:rsidP="00005750">
      <w:pPr>
        <w:pStyle w:val="ListParagraph"/>
        <w:numPr>
          <w:ilvl w:val="2"/>
          <w:numId w:val="25"/>
        </w:numPr>
        <w:pBdr>
          <w:top w:val="nil"/>
          <w:left w:val="nil"/>
          <w:bottom w:val="nil"/>
          <w:right w:val="nil"/>
          <w:between w:val="nil"/>
        </w:pBdr>
        <w:spacing w:after="0"/>
        <w:rPr>
          <w:rFonts w:ascii="Times New Roman" w:eastAsia="Georgia" w:hAnsi="Times New Roman" w:cs="Times New Roman"/>
          <w:color w:val="000000"/>
          <w:sz w:val="28"/>
          <w:szCs w:val="36"/>
          <w:lang w:val="sr-Latn-ME"/>
        </w:rPr>
      </w:pPr>
      <w:r w:rsidRPr="00DE4F22">
        <w:rPr>
          <w:rFonts w:ascii="Times New Roman" w:eastAsia="Georgia" w:hAnsi="Times New Roman" w:cs="Times New Roman"/>
          <w:color w:val="000000"/>
          <w:sz w:val="24"/>
          <w:szCs w:val="32"/>
          <w:lang w:val="sr-Latn-ME"/>
        </w:rPr>
        <w:t>T</w:t>
      </w:r>
      <w:r w:rsidR="009C2EB0" w:rsidRPr="00DE4F22">
        <w:rPr>
          <w:rFonts w:ascii="Times New Roman" w:eastAsia="Georgia" w:hAnsi="Times New Roman" w:cs="Times New Roman"/>
          <w:color w:val="000000"/>
          <w:sz w:val="24"/>
          <w:szCs w:val="32"/>
          <w:lang w:val="sr-Latn-ME"/>
        </w:rPr>
        <w:t xml:space="preserve">roškove električne energije </w:t>
      </w:r>
      <w:r w:rsidR="00443546">
        <w:rPr>
          <w:rFonts w:ascii="Times New Roman" w:eastAsia="Georgia" w:hAnsi="Times New Roman" w:cs="Times New Roman"/>
          <w:color w:val="000000"/>
          <w:sz w:val="24"/>
          <w:szCs w:val="32"/>
          <w:lang w:val="sr-Latn-ME"/>
        </w:rPr>
        <w:t>5</w:t>
      </w:r>
      <w:r w:rsidR="00412175" w:rsidRPr="00DE4F22">
        <w:rPr>
          <w:rFonts w:ascii="Times New Roman" w:eastAsia="Georgia" w:hAnsi="Times New Roman" w:cs="Times New Roman"/>
          <w:color w:val="000000"/>
          <w:sz w:val="24"/>
          <w:szCs w:val="32"/>
          <w:lang w:val="sr-Latn-ME"/>
        </w:rPr>
        <w:t>.</w:t>
      </w:r>
      <w:r w:rsidR="00443546">
        <w:rPr>
          <w:rFonts w:ascii="Times New Roman" w:eastAsia="Georgia" w:hAnsi="Times New Roman" w:cs="Times New Roman"/>
          <w:color w:val="000000"/>
          <w:sz w:val="24"/>
          <w:szCs w:val="32"/>
          <w:lang w:val="sr-Latn-ME"/>
        </w:rPr>
        <w:t>0</w:t>
      </w:r>
      <w:r w:rsidRPr="00DE4F22">
        <w:rPr>
          <w:rFonts w:ascii="Times New Roman" w:eastAsia="Georgia" w:hAnsi="Times New Roman" w:cs="Times New Roman"/>
          <w:color w:val="000000"/>
          <w:sz w:val="24"/>
          <w:szCs w:val="32"/>
          <w:lang w:val="sr-Latn-ME"/>
        </w:rPr>
        <w:t>00</w:t>
      </w:r>
      <w:r w:rsidR="00412175" w:rsidRPr="00DE4F22">
        <w:rPr>
          <w:rFonts w:ascii="Times New Roman" w:eastAsia="Georgia" w:hAnsi="Times New Roman" w:cs="Times New Roman"/>
          <w:color w:val="000000"/>
          <w:sz w:val="24"/>
          <w:szCs w:val="32"/>
          <w:lang w:val="sr-Latn-ME"/>
        </w:rPr>
        <w:t>,</w:t>
      </w:r>
      <w:r w:rsidR="009C2EB0" w:rsidRPr="00DE4F22">
        <w:rPr>
          <w:rFonts w:ascii="Times New Roman" w:eastAsia="Georgia" w:hAnsi="Times New Roman" w:cs="Times New Roman"/>
          <w:color w:val="000000"/>
          <w:sz w:val="24"/>
          <w:szCs w:val="32"/>
          <w:lang w:val="sr-Latn-ME"/>
        </w:rPr>
        <w:t>00€</w:t>
      </w:r>
      <w:r w:rsidRPr="00DE4F22">
        <w:rPr>
          <w:rFonts w:ascii="Times New Roman" w:eastAsia="Georgia" w:hAnsi="Times New Roman" w:cs="Times New Roman"/>
          <w:color w:val="000000"/>
          <w:sz w:val="24"/>
          <w:szCs w:val="32"/>
          <w:lang w:val="sr-Latn-ME"/>
        </w:rPr>
        <w:t>;</w:t>
      </w:r>
    </w:p>
    <w:p w14:paraId="5E875334" w14:textId="217E7664" w:rsidR="00695808" w:rsidRPr="00DE4F22" w:rsidRDefault="00C27CD4" w:rsidP="00005750">
      <w:pPr>
        <w:pStyle w:val="ListParagraph"/>
        <w:numPr>
          <w:ilvl w:val="2"/>
          <w:numId w:val="25"/>
        </w:numPr>
        <w:pBdr>
          <w:top w:val="nil"/>
          <w:left w:val="nil"/>
          <w:bottom w:val="nil"/>
          <w:right w:val="nil"/>
          <w:between w:val="nil"/>
        </w:pBdr>
        <w:spacing w:after="0"/>
        <w:rPr>
          <w:rFonts w:ascii="Times New Roman" w:eastAsia="Georgia" w:hAnsi="Times New Roman" w:cs="Times New Roman"/>
          <w:b/>
          <w:bCs/>
          <w:color w:val="000000"/>
          <w:sz w:val="28"/>
          <w:szCs w:val="36"/>
          <w:lang w:val="sr-Latn-ME"/>
        </w:rPr>
      </w:pPr>
      <w:r w:rsidRPr="00DE4F22">
        <w:rPr>
          <w:rFonts w:ascii="Times New Roman" w:eastAsia="Georgia" w:hAnsi="Times New Roman" w:cs="Times New Roman"/>
          <w:color w:val="000000"/>
          <w:sz w:val="24"/>
          <w:szCs w:val="32"/>
          <w:lang w:val="sr-Latn-ME"/>
        </w:rPr>
        <w:t>Troškove</w:t>
      </w:r>
      <w:r w:rsidR="009C2EB0" w:rsidRPr="00DE4F22">
        <w:rPr>
          <w:rFonts w:ascii="Times New Roman" w:eastAsia="Georgia" w:hAnsi="Times New Roman" w:cs="Times New Roman"/>
          <w:color w:val="000000"/>
          <w:sz w:val="24"/>
          <w:szCs w:val="32"/>
          <w:lang w:val="sr-Latn-ME"/>
        </w:rPr>
        <w:t xml:space="preserve"> ostalog materijala u iznosu od </w:t>
      </w:r>
      <w:r w:rsidR="00443546">
        <w:rPr>
          <w:rFonts w:ascii="Times New Roman" w:eastAsia="Georgia" w:hAnsi="Times New Roman" w:cs="Times New Roman"/>
          <w:color w:val="000000"/>
          <w:sz w:val="24"/>
          <w:szCs w:val="32"/>
          <w:lang w:val="sr-Latn-ME"/>
        </w:rPr>
        <w:t>5</w:t>
      </w:r>
      <w:r w:rsidR="00412175" w:rsidRPr="00DE4F22">
        <w:rPr>
          <w:rFonts w:ascii="Times New Roman" w:eastAsia="Georgia" w:hAnsi="Times New Roman" w:cs="Times New Roman"/>
          <w:color w:val="000000"/>
          <w:sz w:val="24"/>
          <w:szCs w:val="32"/>
          <w:lang w:val="sr-Latn-ME"/>
        </w:rPr>
        <w:t>.</w:t>
      </w:r>
      <w:r w:rsidR="009C2EB0" w:rsidRPr="00DE4F22">
        <w:rPr>
          <w:rFonts w:ascii="Times New Roman" w:eastAsia="Georgia" w:hAnsi="Times New Roman" w:cs="Times New Roman"/>
          <w:color w:val="000000"/>
          <w:sz w:val="24"/>
          <w:szCs w:val="32"/>
          <w:lang w:val="sr-Latn-ME"/>
        </w:rPr>
        <w:t>000</w:t>
      </w:r>
      <w:r w:rsidR="00412175" w:rsidRPr="00DE4F22">
        <w:rPr>
          <w:rFonts w:ascii="Times New Roman" w:eastAsia="Georgia" w:hAnsi="Times New Roman" w:cs="Times New Roman"/>
          <w:color w:val="000000"/>
          <w:sz w:val="24"/>
          <w:szCs w:val="32"/>
          <w:lang w:val="sr-Latn-ME"/>
        </w:rPr>
        <w:t>,</w:t>
      </w:r>
      <w:r w:rsidR="009C2EB0" w:rsidRPr="00DE4F22">
        <w:rPr>
          <w:rFonts w:ascii="Times New Roman" w:eastAsia="Georgia" w:hAnsi="Times New Roman" w:cs="Times New Roman"/>
          <w:color w:val="000000"/>
          <w:sz w:val="24"/>
          <w:szCs w:val="32"/>
          <w:lang w:val="sr-Latn-ME"/>
        </w:rPr>
        <w:t>00€.</w:t>
      </w:r>
    </w:p>
    <w:p w14:paraId="088FD8EC" w14:textId="062A24D6" w:rsidR="00D324C7" w:rsidRPr="00DE4F22" w:rsidRDefault="009C2EB0" w:rsidP="00005750">
      <w:pPr>
        <w:pStyle w:val="ListParagraph"/>
        <w:numPr>
          <w:ilvl w:val="1"/>
          <w:numId w:val="25"/>
        </w:numPr>
        <w:pBdr>
          <w:top w:val="nil"/>
          <w:left w:val="nil"/>
          <w:bottom w:val="nil"/>
          <w:right w:val="nil"/>
          <w:between w:val="nil"/>
        </w:pBdr>
        <w:spacing w:before="240"/>
        <w:rPr>
          <w:rFonts w:ascii="Times New Roman" w:eastAsia="Georgia" w:hAnsi="Times New Roman" w:cs="Times New Roman"/>
          <w:b/>
          <w:bCs/>
          <w:color w:val="000000"/>
          <w:sz w:val="24"/>
          <w:szCs w:val="32"/>
          <w:lang w:val="sr-Latn-ME"/>
        </w:rPr>
      </w:pPr>
      <w:r w:rsidRPr="00DE4F22">
        <w:rPr>
          <w:rFonts w:ascii="Times New Roman" w:eastAsia="Georgia" w:hAnsi="Times New Roman" w:cs="Times New Roman"/>
          <w:b/>
          <w:bCs/>
          <w:color w:val="000000"/>
          <w:sz w:val="24"/>
          <w:szCs w:val="32"/>
          <w:lang w:val="sr-Latn-ME"/>
        </w:rPr>
        <w:t>Troškovi zarada i naknada zarada</w:t>
      </w:r>
      <w:r w:rsidR="00D324C7" w:rsidRPr="00DE4F22">
        <w:rPr>
          <w:rFonts w:ascii="Times New Roman" w:eastAsia="Georgia" w:hAnsi="Times New Roman" w:cs="Times New Roman"/>
          <w:b/>
          <w:bCs/>
          <w:color w:val="000000"/>
          <w:sz w:val="24"/>
          <w:szCs w:val="32"/>
          <w:lang w:val="sr-Latn-ME"/>
        </w:rPr>
        <w:t xml:space="preserve"> </w:t>
      </w:r>
      <w:r w:rsidR="00D324C7" w:rsidRPr="00DE4F22">
        <w:rPr>
          <w:rFonts w:ascii="Times New Roman" w:eastAsia="Georgia" w:hAnsi="Times New Roman" w:cs="Times New Roman"/>
          <w:color w:val="000000"/>
          <w:sz w:val="24"/>
          <w:szCs w:val="32"/>
          <w:lang w:val="sr-Latn-ME"/>
        </w:rPr>
        <w:t xml:space="preserve">planirani su ukupnom iznosu od </w:t>
      </w:r>
      <w:r w:rsidR="00B65222" w:rsidRPr="00DE4F22">
        <w:rPr>
          <w:rFonts w:ascii="Times New Roman" w:eastAsia="Georgia" w:hAnsi="Times New Roman" w:cs="Times New Roman"/>
          <w:b/>
          <w:bCs/>
          <w:color w:val="000000"/>
          <w:sz w:val="24"/>
          <w:szCs w:val="32"/>
          <w:lang w:val="sr-Latn-ME"/>
        </w:rPr>
        <w:t>6</w:t>
      </w:r>
      <w:r w:rsidR="00443546">
        <w:rPr>
          <w:rFonts w:ascii="Times New Roman" w:eastAsia="Georgia" w:hAnsi="Times New Roman" w:cs="Times New Roman"/>
          <w:b/>
          <w:bCs/>
          <w:color w:val="000000"/>
          <w:sz w:val="24"/>
          <w:szCs w:val="32"/>
          <w:lang w:val="sr-Latn-ME"/>
        </w:rPr>
        <w:t>70</w:t>
      </w:r>
      <w:r w:rsidR="004A06FA" w:rsidRPr="00DE4F22">
        <w:rPr>
          <w:rFonts w:ascii="Times New Roman" w:eastAsia="Georgia" w:hAnsi="Times New Roman" w:cs="Times New Roman"/>
          <w:b/>
          <w:bCs/>
          <w:color w:val="000000"/>
          <w:sz w:val="24"/>
          <w:szCs w:val="32"/>
          <w:lang w:val="sr-Latn-ME"/>
        </w:rPr>
        <w:t>.</w:t>
      </w:r>
      <w:r w:rsidR="00443546">
        <w:rPr>
          <w:rFonts w:ascii="Times New Roman" w:eastAsia="Georgia" w:hAnsi="Times New Roman" w:cs="Times New Roman"/>
          <w:b/>
          <w:bCs/>
          <w:color w:val="000000"/>
          <w:sz w:val="24"/>
          <w:szCs w:val="32"/>
          <w:lang w:val="sr-Latn-ME"/>
        </w:rPr>
        <w:t>285</w:t>
      </w:r>
      <w:r w:rsidR="009A3E1B" w:rsidRPr="00DE4F22">
        <w:rPr>
          <w:rFonts w:ascii="Times New Roman" w:eastAsia="Georgia" w:hAnsi="Times New Roman" w:cs="Times New Roman"/>
          <w:b/>
          <w:bCs/>
          <w:color w:val="000000"/>
          <w:sz w:val="24"/>
          <w:szCs w:val="32"/>
          <w:lang w:val="sr-Latn-ME"/>
        </w:rPr>
        <w:t>,</w:t>
      </w:r>
      <w:r w:rsidR="00D324C7" w:rsidRPr="00DE4F22">
        <w:rPr>
          <w:rFonts w:ascii="Times New Roman" w:eastAsia="Georgia" w:hAnsi="Times New Roman" w:cs="Times New Roman"/>
          <w:b/>
          <w:bCs/>
          <w:color w:val="000000"/>
          <w:sz w:val="24"/>
          <w:szCs w:val="32"/>
          <w:lang w:val="sr-Latn-ME"/>
        </w:rPr>
        <w:t>00€.</w:t>
      </w:r>
    </w:p>
    <w:p w14:paraId="11817FD9" w14:textId="77777777" w:rsidR="00633411" w:rsidRPr="00DE4F22" w:rsidRDefault="00D324C7" w:rsidP="007077A7">
      <w:pPr>
        <w:spacing w:after="240"/>
        <w:jc w:val="both"/>
        <w:rPr>
          <w:rFonts w:eastAsia="Georgia"/>
        </w:rPr>
      </w:pPr>
      <w:r w:rsidRPr="00DE4F22">
        <w:rPr>
          <w:rFonts w:eastAsia="Georgia"/>
        </w:rPr>
        <w:t xml:space="preserve">2.2.1.-2.2.3. </w:t>
      </w:r>
      <w:r w:rsidR="00D60667" w:rsidRPr="00DE4F22">
        <w:rPr>
          <w:rFonts w:eastAsia="Georgia"/>
        </w:rPr>
        <w:t>Troškovi zarada po Ugovoru o radu</w:t>
      </w:r>
    </w:p>
    <w:p w14:paraId="30125E75" w14:textId="16D6E579" w:rsidR="00695808" w:rsidRDefault="001D6789" w:rsidP="007077A7">
      <w:pPr>
        <w:spacing w:after="240"/>
        <w:jc w:val="both"/>
        <w:rPr>
          <w:rFonts w:eastAsia="Georgia"/>
        </w:rPr>
      </w:pPr>
      <w:r w:rsidRPr="00DE4F22">
        <w:rPr>
          <w:rFonts w:eastAsia="Georgia"/>
        </w:rPr>
        <w:t xml:space="preserve">Pravilnikom o unutrašnjoj organizaciji i sistematizaciji za izvršenje poslova iz </w:t>
      </w:r>
      <w:r w:rsidR="008454D9" w:rsidRPr="00DE4F22">
        <w:rPr>
          <w:rFonts w:eastAsia="Georgia"/>
        </w:rPr>
        <w:t>dj</w:t>
      </w:r>
      <w:r w:rsidRPr="00DE4F22">
        <w:rPr>
          <w:rFonts w:eastAsia="Georgia"/>
        </w:rPr>
        <w:t xml:space="preserve">elokruga rada Eko-fonda, </w:t>
      </w:r>
      <w:r w:rsidR="00AF30D7" w:rsidRPr="002C44E1">
        <w:rPr>
          <w:rFonts w:eastAsia="Georgia"/>
        </w:rPr>
        <w:t xml:space="preserve">planiran je </w:t>
      </w:r>
      <w:r w:rsidR="00124DCC" w:rsidRPr="002C44E1">
        <w:rPr>
          <w:rFonts w:eastAsia="Georgia"/>
        </w:rPr>
        <w:t>41</w:t>
      </w:r>
      <w:r w:rsidRPr="002C44E1">
        <w:rPr>
          <w:rFonts w:eastAsia="Georgia"/>
        </w:rPr>
        <w:t xml:space="preserve"> izvršilac</w:t>
      </w:r>
      <w:r w:rsidRPr="00DE4F22">
        <w:rPr>
          <w:rFonts w:eastAsia="Georgia"/>
        </w:rPr>
        <w:t xml:space="preserve">. </w:t>
      </w:r>
      <w:r w:rsidR="00995605" w:rsidRPr="00DE4F22">
        <w:rPr>
          <w:rFonts w:eastAsia="Georgia"/>
        </w:rPr>
        <w:t>Zaključno sa 1</w:t>
      </w:r>
      <w:r w:rsidR="00412175" w:rsidRPr="00DE4F22">
        <w:rPr>
          <w:rFonts w:eastAsia="Georgia"/>
        </w:rPr>
        <w:t>2</w:t>
      </w:r>
      <w:r w:rsidR="00995605" w:rsidRPr="00DE4F22">
        <w:rPr>
          <w:rFonts w:eastAsia="Georgia"/>
        </w:rPr>
        <w:t>/202</w:t>
      </w:r>
      <w:r w:rsidR="00443546">
        <w:rPr>
          <w:rFonts w:eastAsia="Georgia"/>
        </w:rPr>
        <w:t>4</w:t>
      </w:r>
      <w:r w:rsidR="00995605" w:rsidRPr="00DE4F22">
        <w:rPr>
          <w:rFonts w:eastAsia="Georgia"/>
        </w:rPr>
        <w:t xml:space="preserve"> zaposleno je </w:t>
      </w:r>
      <w:r w:rsidR="00124DCC">
        <w:rPr>
          <w:rFonts w:eastAsia="Georgia"/>
        </w:rPr>
        <w:t>22</w:t>
      </w:r>
      <w:r w:rsidR="00995605" w:rsidRPr="00DE4F22">
        <w:rPr>
          <w:rFonts w:eastAsia="Georgia"/>
        </w:rPr>
        <w:t xml:space="preserve"> </w:t>
      </w:r>
      <w:r w:rsidR="00502FA2" w:rsidRPr="00DE4F22">
        <w:rPr>
          <w:rFonts w:eastAsia="Georgia"/>
        </w:rPr>
        <w:t>lica</w:t>
      </w:r>
      <w:r w:rsidR="00995605" w:rsidRPr="00DE4F22">
        <w:rPr>
          <w:rFonts w:eastAsia="Georgia"/>
        </w:rPr>
        <w:t xml:space="preserve"> koji imaju Ugovor o radu na neodređeno vrijeme,</w:t>
      </w:r>
      <w:r w:rsidR="001C0261" w:rsidRPr="00DE4F22">
        <w:rPr>
          <w:rFonts w:eastAsia="Georgia"/>
        </w:rPr>
        <w:t xml:space="preserve"> </w:t>
      </w:r>
      <w:r w:rsidR="00B65222" w:rsidRPr="00DE4F22">
        <w:rPr>
          <w:rFonts w:eastAsia="Georgia"/>
        </w:rPr>
        <w:t>2</w:t>
      </w:r>
      <w:r w:rsidR="001C0261" w:rsidRPr="00DE4F22">
        <w:rPr>
          <w:rFonts w:eastAsia="Georgia"/>
        </w:rPr>
        <w:t xml:space="preserve"> </w:t>
      </w:r>
      <w:r w:rsidR="00B84A29" w:rsidRPr="00DE4F22">
        <w:rPr>
          <w:rFonts w:eastAsia="Georgia"/>
        </w:rPr>
        <w:t xml:space="preserve">lica </w:t>
      </w:r>
      <w:r w:rsidR="001C0261" w:rsidRPr="00DE4F22">
        <w:rPr>
          <w:rFonts w:eastAsia="Georgia"/>
        </w:rPr>
        <w:t>koji imaju Ugovor o radu na određeno vrijeme,</w:t>
      </w:r>
      <w:r w:rsidR="00995605" w:rsidRPr="00DE4F22">
        <w:rPr>
          <w:rFonts w:eastAsia="Georgia"/>
        </w:rPr>
        <w:t xml:space="preserve"> dok je sa </w:t>
      </w:r>
      <w:r w:rsidR="008609DD" w:rsidRPr="00DE4F22">
        <w:rPr>
          <w:rFonts w:eastAsia="Georgia"/>
        </w:rPr>
        <w:t>I</w:t>
      </w:r>
      <w:r w:rsidR="00995605" w:rsidRPr="00DE4F22">
        <w:rPr>
          <w:rFonts w:eastAsia="Georgia"/>
        </w:rPr>
        <w:t>zvršnim direktorom radni odnos zasnovan do isteka mandata</w:t>
      </w:r>
      <w:r w:rsidR="00C27CD4" w:rsidRPr="00DE4F22">
        <w:rPr>
          <w:rFonts w:eastAsia="Georgia"/>
        </w:rPr>
        <w:t>.</w:t>
      </w:r>
      <w:r w:rsidR="00784339" w:rsidRPr="00DE4F22">
        <w:rPr>
          <w:rFonts w:eastAsia="Georgia"/>
        </w:rPr>
        <w:t xml:space="preserve"> </w:t>
      </w:r>
      <w:r w:rsidR="00784339" w:rsidRPr="00DE4F22">
        <w:rPr>
          <w:rFonts w:eastAsia="Georgia"/>
          <w:color w:val="000000" w:themeColor="text1"/>
        </w:rPr>
        <w:t>Plan za</w:t>
      </w:r>
      <w:r w:rsidR="00B42FF2" w:rsidRPr="00DE4F22">
        <w:rPr>
          <w:rFonts w:eastAsia="Georgia"/>
          <w:color w:val="000000" w:themeColor="text1"/>
        </w:rPr>
        <w:t xml:space="preserve"> 202</w:t>
      </w:r>
      <w:r w:rsidR="00281842">
        <w:rPr>
          <w:rFonts w:eastAsia="Georgia"/>
          <w:color w:val="000000" w:themeColor="text1"/>
        </w:rPr>
        <w:t>5</w:t>
      </w:r>
      <w:r w:rsidR="00B42FF2" w:rsidRPr="00DE4F22">
        <w:rPr>
          <w:rFonts w:eastAsia="Georgia"/>
          <w:color w:val="000000" w:themeColor="text1"/>
        </w:rPr>
        <w:t>. godinu</w:t>
      </w:r>
      <w:r w:rsidR="00784339" w:rsidRPr="00DE4F22">
        <w:rPr>
          <w:rFonts w:eastAsia="Georgia"/>
          <w:color w:val="000000" w:themeColor="text1"/>
        </w:rPr>
        <w:t xml:space="preserve"> je da se dodatno </w:t>
      </w:r>
      <w:r w:rsidR="00124DCC">
        <w:rPr>
          <w:rFonts w:eastAsia="Georgia"/>
          <w:color w:val="000000" w:themeColor="text1"/>
        </w:rPr>
        <w:t>zaposljavaju lica u skladu sa potrebama i obimom posla</w:t>
      </w:r>
      <w:r w:rsidR="00784339" w:rsidRPr="00DE4F22">
        <w:rPr>
          <w:rFonts w:eastAsia="Georgia"/>
          <w:color w:val="000000" w:themeColor="text1"/>
        </w:rPr>
        <w:t>.</w:t>
      </w:r>
      <w:r w:rsidR="00C27CD4" w:rsidRPr="00DE4F22">
        <w:rPr>
          <w:rFonts w:eastAsia="Georgia"/>
          <w:color w:val="000000" w:themeColor="text1"/>
        </w:rPr>
        <w:t xml:space="preserve"> </w:t>
      </w:r>
      <w:r w:rsidRPr="00DE4F22">
        <w:rPr>
          <w:rFonts w:eastAsia="Georgia"/>
          <w:color w:val="000000" w:themeColor="text1"/>
        </w:rPr>
        <w:t>Na osnovu toga u</w:t>
      </w:r>
      <w:r w:rsidR="00995605" w:rsidRPr="00DE4F22">
        <w:rPr>
          <w:rFonts w:eastAsia="Georgia"/>
          <w:color w:val="000000" w:themeColor="text1"/>
        </w:rPr>
        <w:t>kupni izdaci po osn</w:t>
      </w:r>
      <w:r w:rsidR="00995605" w:rsidRPr="00DE4F22">
        <w:rPr>
          <w:rFonts w:eastAsia="Georgia"/>
        </w:rPr>
        <w:t xml:space="preserve">ovu zarada planirani su iznosu od </w:t>
      </w:r>
      <w:r w:rsidR="008F270A" w:rsidRPr="00DE4F22">
        <w:rPr>
          <w:rFonts w:eastAsia="Georgia"/>
        </w:rPr>
        <w:t>5</w:t>
      </w:r>
      <w:r w:rsidR="00124DCC">
        <w:rPr>
          <w:rFonts w:eastAsia="Georgia"/>
        </w:rPr>
        <w:t>77</w:t>
      </w:r>
      <w:r w:rsidR="004A06FA" w:rsidRPr="00DE4F22">
        <w:rPr>
          <w:rFonts w:eastAsia="Georgia"/>
        </w:rPr>
        <w:t>.</w:t>
      </w:r>
      <w:r w:rsidR="00124DCC">
        <w:rPr>
          <w:rFonts w:eastAsia="Georgia"/>
        </w:rPr>
        <w:t>285</w:t>
      </w:r>
      <w:r w:rsidR="004A06FA" w:rsidRPr="00DE4F22">
        <w:rPr>
          <w:rFonts w:eastAsia="Georgia"/>
        </w:rPr>
        <w:t>,</w:t>
      </w:r>
      <w:r w:rsidR="00995605" w:rsidRPr="00DE4F22">
        <w:rPr>
          <w:rFonts w:eastAsia="Georgia"/>
        </w:rPr>
        <w:t>00€.</w:t>
      </w:r>
      <w:r w:rsidR="009C2EB0" w:rsidRPr="00DE4F22">
        <w:rPr>
          <w:rFonts w:eastAsia="Georgia"/>
        </w:rPr>
        <w:t xml:space="preserve"> </w:t>
      </w:r>
    </w:p>
    <w:p w14:paraId="4BBE71F0" w14:textId="1D51EFDE" w:rsidR="00695808" w:rsidRPr="00DE4F22" w:rsidRDefault="00FD1112" w:rsidP="00323992">
      <w:pPr>
        <w:keepLines/>
        <w:pBdr>
          <w:top w:val="nil"/>
          <w:left w:val="nil"/>
          <w:bottom w:val="nil"/>
          <w:right w:val="nil"/>
          <w:between w:val="nil"/>
        </w:pBdr>
        <w:spacing w:before="60" w:after="60"/>
        <w:jc w:val="both"/>
        <w:rPr>
          <w:rFonts w:eastAsia="Georgia"/>
          <w:color w:val="000000"/>
        </w:rPr>
      </w:pPr>
      <w:r>
        <w:rPr>
          <w:rFonts w:eastAsia="Georgia"/>
        </w:rPr>
        <w:br/>
      </w:r>
      <w:r w:rsidR="00D324C7" w:rsidRPr="00DE4F22">
        <w:rPr>
          <w:rFonts w:eastAsia="Georgia"/>
          <w:color w:val="000000"/>
        </w:rPr>
        <w:t xml:space="preserve">2.2.4. </w:t>
      </w:r>
      <w:r w:rsidR="009C2EB0" w:rsidRPr="00DE4F22">
        <w:rPr>
          <w:rFonts w:eastAsia="Georgia"/>
          <w:color w:val="000000"/>
        </w:rPr>
        <w:t xml:space="preserve">Troškovi naknada po </w:t>
      </w:r>
      <w:r w:rsidR="00D5357F" w:rsidRPr="00DE4F22">
        <w:rPr>
          <w:rFonts w:eastAsia="Georgia"/>
          <w:color w:val="000000"/>
        </w:rPr>
        <w:t>osnovu U</w:t>
      </w:r>
      <w:r w:rsidR="009C2EB0" w:rsidRPr="00DE4F22">
        <w:rPr>
          <w:rFonts w:eastAsia="Georgia"/>
          <w:color w:val="000000"/>
        </w:rPr>
        <w:t>govor</w:t>
      </w:r>
      <w:r w:rsidR="00D5357F" w:rsidRPr="00DE4F22">
        <w:rPr>
          <w:rFonts w:eastAsia="Georgia"/>
          <w:color w:val="000000"/>
        </w:rPr>
        <w:t>a</w:t>
      </w:r>
      <w:r w:rsidR="009C2EB0" w:rsidRPr="00DE4F22">
        <w:rPr>
          <w:rFonts w:eastAsia="Georgia"/>
          <w:color w:val="000000"/>
        </w:rPr>
        <w:t xml:space="preserve"> o </w:t>
      </w:r>
      <w:r w:rsidR="008454D9" w:rsidRPr="00DE4F22">
        <w:rPr>
          <w:rFonts w:eastAsia="Georgia"/>
          <w:color w:val="000000"/>
        </w:rPr>
        <w:t>dj</w:t>
      </w:r>
      <w:r w:rsidR="009C2EB0" w:rsidRPr="00DE4F22">
        <w:rPr>
          <w:rFonts w:eastAsia="Georgia"/>
          <w:color w:val="000000"/>
        </w:rPr>
        <w:t>elu</w:t>
      </w:r>
    </w:p>
    <w:p w14:paraId="6425F04F" w14:textId="6B95D643" w:rsidR="00D324C7" w:rsidRPr="00DE4F22" w:rsidRDefault="00D5357F" w:rsidP="00F248F8">
      <w:pPr>
        <w:spacing w:after="240"/>
        <w:jc w:val="both"/>
        <w:rPr>
          <w:rFonts w:eastAsia="Georgia"/>
          <w:color w:val="000000"/>
        </w:rPr>
      </w:pPr>
      <w:r w:rsidRPr="00DE4F22">
        <w:rPr>
          <w:rFonts w:eastAsia="Georgia"/>
          <w:color w:val="000000"/>
        </w:rPr>
        <w:t xml:space="preserve">Ukupna sredstva za isplatu naknada po osnovu Ugovora o djelu planirala su u ukupnom iznosu od </w:t>
      </w:r>
      <w:r w:rsidR="00D3353E">
        <w:rPr>
          <w:rFonts w:eastAsia="Georgia"/>
          <w:color w:val="000000"/>
        </w:rPr>
        <w:t>40</w:t>
      </w:r>
      <w:r w:rsidRPr="00DE4F22">
        <w:rPr>
          <w:rFonts w:eastAsia="Georgia"/>
          <w:color w:val="000000"/>
        </w:rPr>
        <w:t>.000,00€.</w:t>
      </w:r>
    </w:p>
    <w:p w14:paraId="1E80E4A9" w14:textId="714B2458" w:rsidR="00695808" w:rsidRPr="00DE4F22" w:rsidRDefault="00D324C7" w:rsidP="00D324C7">
      <w:pPr>
        <w:jc w:val="both"/>
        <w:rPr>
          <w:rFonts w:eastAsia="Georgia"/>
          <w:color w:val="000000"/>
        </w:rPr>
      </w:pPr>
      <w:r w:rsidRPr="00DE4F22">
        <w:rPr>
          <w:rFonts w:eastAsia="Georgia"/>
          <w:color w:val="000000"/>
        </w:rPr>
        <w:t xml:space="preserve">2.2.5. </w:t>
      </w:r>
      <w:r w:rsidR="009C2EB0" w:rsidRPr="00DE4F22">
        <w:rPr>
          <w:rFonts w:eastAsia="Georgia"/>
          <w:color w:val="000000"/>
        </w:rPr>
        <w:t xml:space="preserve">Troškovi naknada članovima </w:t>
      </w:r>
      <w:r w:rsidR="00D6664F" w:rsidRPr="00DE4F22">
        <w:rPr>
          <w:rFonts w:eastAsia="Georgia"/>
          <w:color w:val="000000"/>
        </w:rPr>
        <w:t>O</w:t>
      </w:r>
      <w:r w:rsidR="009C2EB0" w:rsidRPr="00DE4F22">
        <w:rPr>
          <w:rFonts w:eastAsia="Georgia"/>
          <w:color w:val="000000"/>
        </w:rPr>
        <w:t>dbora direktora</w:t>
      </w:r>
    </w:p>
    <w:p w14:paraId="51D0F8B1" w14:textId="48EB2D8C" w:rsidR="00D60667" w:rsidRPr="00DE4F22" w:rsidRDefault="009C2EB0" w:rsidP="00F248F8">
      <w:pPr>
        <w:spacing w:after="240"/>
        <w:jc w:val="both"/>
        <w:rPr>
          <w:rFonts w:eastAsia="Georgia"/>
        </w:rPr>
      </w:pPr>
      <w:r w:rsidRPr="00DE4F22">
        <w:rPr>
          <w:rFonts w:eastAsia="Georgia"/>
        </w:rPr>
        <w:t xml:space="preserve">Bruto naknade za predsjednika i članove </w:t>
      </w:r>
      <w:r w:rsidR="00D6664F" w:rsidRPr="00DE4F22">
        <w:rPr>
          <w:rFonts w:eastAsia="Georgia"/>
        </w:rPr>
        <w:t>O</w:t>
      </w:r>
      <w:r w:rsidRPr="00DE4F22">
        <w:rPr>
          <w:rFonts w:eastAsia="Georgia"/>
        </w:rPr>
        <w:t>dbora direktor</w:t>
      </w:r>
      <w:r w:rsidR="00D474B9" w:rsidRPr="00DE4F22">
        <w:rPr>
          <w:rFonts w:eastAsia="Georgia"/>
        </w:rPr>
        <w:t>a</w:t>
      </w:r>
      <w:r w:rsidRPr="00DE4F22">
        <w:rPr>
          <w:rFonts w:eastAsia="Georgia"/>
        </w:rPr>
        <w:t xml:space="preserve"> planirane su u ukupnom </w:t>
      </w:r>
      <w:r w:rsidR="00D324C7" w:rsidRPr="00DE4F22">
        <w:rPr>
          <w:rFonts w:eastAsia="Georgia"/>
        </w:rPr>
        <w:t xml:space="preserve">godišnjem iznosu od </w:t>
      </w:r>
      <w:r w:rsidR="00D3353E">
        <w:rPr>
          <w:rFonts w:eastAsia="Georgia"/>
        </w:rPr>
        <w:t>25</w:t>
      </w:r>
      <w:r w:rsidR="00D5357F" w:rsidRPr="00DE4F22">
        <w:rPr>
          <w:rFonts w:eastAsia="Georgia"/>
        </w:rPr>
        <w:t>.</w:t>
      </w:r>
      <w:r w:rsidR="00D3353E">
        <w:rPr>
          <w:rFonts w:eastAsia="Georgia"/>
        </w:rPr>
        <w:t>0</w:t>
      </w:r>
      <w:r w:rsidR="00D5357F" w:rsidRPr="00DE4F22">
        <w:rPr>
          <w:rFonts w:eastAsia="Georgia"/>
        </w:rPr>
        <w:t>00</w:t>
      </w:r>
      <w:r w:rsidR="00B01B35" w:rsidRPr="00DE4F22">
        <w:rPr>
          <w:rFonts w:eastAsia="Georgia"/>
        </w:rPr>
        <w:t>,</w:t>
      </w:r>
      <w:r w:rsidR="00D324C7" w:rsidRPr="00DE4F22">
        <w:rPr>
          <w:rFonts w:eastAsia="Georgia"/>
        </w:rPr>
        <w:t>00€.</w:t>
      </w:r>
    </w:p>
    <w:p w14:paraId="58E17B36" w14:textId="77777777" w:rsidR="00695808" w:rsidRPr="00DE4F22" w:rsidRDefault="00D60667" w:rsidP="00D60667">
      <w:pPr>
        <w:jc w:val="both"/>
        <w:rPr>
          <w:rFonts w:eastAsia="Georgia"/>
        </w:rPr>
      </w:pPr>
      <w:r w:rsidRPr="00DE4F22">
        <w:rPr>
          <w:rFonts w:eastAsia="Georgia"/>
        </w:rPr>
        <w:t xml:space="preserve">2.2.6. </w:t>
      </w:r>
      <w:r w:rsidR="009C2EB0" w:rsidRPr="00DE4F22">
        <w:rPr>
          <w:rFonts w:eastAsia="Georgia"/>
        </w:rPr>
        <w:t>Troškovi naknada zaposlenima na službenom putu</w:t>
      </w:r>
    </w:p>
    <w:p w14:paraId="5D40A972" w14:textId="6E590E40" w:rsidR="00695808" w:rsidRPr="00DE4F22" w:rsidRDefault="009C2EB0" w:rsidP="00F248F8">
      <w:pPr>
        <w:spacing w:after="240"/>
        <w:jc w:val="both"/>
        <w:rPr>
          <w:rFonts w:eastAsia="Georgia"/>
          <w:color w:val="000000"/>
        </w:rPr>
      </w:pPr>
      <w:r w:rsidRPr="00DE4F22">
        <w:rPr>
          <w:rFonts w:eastAsia="Georgia"/>
          <w:color w:val="000000"/>
        </w:rPr>
        <w:t xml:space="preserve">Troškovi naknada zaposlenima na službenom putu </w:t>
      </w:r>
      <w:r w:rsidRPr="00DE4F22">
        <w:rPr>
          <w:rFonts w:eastAsia="Georgia"/>
        </w:rPr>
        <w:t>koji čine troškove službenih putovanja u zemlji i inostranstvu (prevoz, smještaj, dnevnice i putno osiguranje),</w:t>
      </w:r>
      <w:r w:rsidRPr="00DE4F22">
        <w:rPr>
          <w:rFonts w:eastAsia="Georgia"/>
          <w:color w:val="000000"/>
        </w:rPr>
        <w:t xml:space="preserve"> predviđeni su u iznosu od </w:t>
      </w:r>
      <w:r w:rsidR="000862F3" w:rsidRPr="00DE4F22">
        <w:rPr>
          <w:rFonts w:eastAsia="Georgia"/>
          <w:color w:val="000000"/>
        </w:rPr>
        <w:t>2</w:t>
      </w:r>
      <w:r w:rsidR="00D3353E">
        <w:rPr>
          <w:rFonts w:eastAsia="Georgia"/>
          <w:color w:val="000000"/>
        </w:rPr>
        <w:t>3</w:t>
      </w:r>
      <w:r w:rsidR="00B01B35" w:rsidRPr="00DE4F22">
        <w:rPr>
          <w:rFonts w:eastAsia="Georgia"/>
          <w:color w:val="000000"/>
        </w:rPr>
        <w:t>.</w:t>
      </w:r>
      <w:r w:rsidRPr="00DE4F22">
        <w:rPr>
          <w:rFonts w:eastAsia="Georgia"/>
          <w:color w:val="000000"/>
        </w:rPr>
        <w:t>000</w:t>
      </w:r>
      <w:r w:rsidR="00B01B35" w:rsidRPr="00DE4F22">
        <w:rPr>
          <w:rFonts w:eastAsia="Georgia"/>
          <w:color w:val="000000"/>
        </w:rPr>
        <w:t>,</w:t>
      </w:r>
      <w:r w:rsidRPr="00DE4F22">
        <w:rPr>
          <w:rFonts w:eastAsia="Georgia"/>
          <w:color w:val="000000"/>
        </w:rPr>
        <w:t>00€</w:t>
      </w:r>
      <w:r w:rsidR="00A3630C" w:rsidRPr="00DE4F22">
        <w:rPr>
          <w:rFonts w:eastAsia="Georgia"/>
          <w:color w:val="000000"/>
        </w:rPr>
        <w:t xml:space="preserve">. </w:t>
      </w:r>
    </w:p>
    <w:p w14:paraId="14B16AA9" w14:textId="77777777" w:rsidR="00273699" w:rsidRPr="00DE4F22" w:rsidRDefault="00273699">
      <w:pPr>
        <w:jc w:val="both"/>
        <w:rPr>
          <w:rFonts w:eastAsia="Georgia"/>
          <w:color w:val="000000"/>
        </w:rPr>
      </w:pPr>
      <w:r w:rsidRPr="00DE4F22">
        <w:rPr>
          <w:rFonts w:eastAsia="Georgia"/>
          <w:color w:val="000000"/>
        </w:rPr>
        <w:t>2.2.</w:t>
      </w:r>
      <w:r w:rsidR="00B01B35" w:rsidRPr="00DE4F22">
        <w:rPr>
          <w:rFonts w:eastAsia="Georgia"/>
          <w:color w:val="000000"/>
        </w:rPr>
        <w:t>7</w:t>
      </w:r>
      <w:r w:rsidRPr="00DE4F22">
        <w:rPr>
          <w:rFonts w:eastAsia="Georgia"/>
          <w:color w:val="000000"/>
        </w:rPr>
        <w:t>. Pomoći i ostale isplate zaposlenima po Kolektivnom ugovoru</w:t>
      </w:r>
    </w:p>
    <w:p w14:paraId="625ACC97" w14:textId="77777777" w:rsidR="00FD1112" w:rsidRDefault="00273699">
      <w:pPr>
        <w:jc w:val="both"/>
        <w:rPr>
          <w:rFonts w:eastAsia="Georgia"/>
          <w:color w:val="000000"/>
        </w:rPr>
      </w:pPr>
      <w:r w:rsidRPr="00DE4F22">
        <w:rPr>
          <w:rFonts w:eastAsia="Georgia"/>
          <w:color w:val="000000"/>
        </w:rPr>
        <w:t>U slučaju nastanka obaveze da se zaposlenom isplati neka od naknada garantovanih Kolektivnim ugovorom</w:t>
      </w:r>
      <w:r w:rsidR="00B01B35" w:rsidRPr="00DE4F22">
        <w:rPr>
          <w:rFonts w:eastAsia="Georgia"/>
          <w:color w:val="000000"/>
        </w:rPr>
        <w:t xml:space="preserve">, planiran je iznos od </w:t>
      </w:r>
      <w:r w:rsidR="000862F3" w:rsidRPr="00DE4F22">
        <w:rPr>
          <w:rFonts w:eastAsia="Georgia"/>
          <w:color w:val="000000"/>
        </w:rPr>
        <w:t>5</w:t>
      </w:r>
      <w:r w:rsidR="00B01B35" w:rsidRPr="00DE4F22">
        <w:rPr>
          <w:rFonts w:eastAsia="Georgia"/>
          <w:color w:val="000000"/>
        </w:rPr>
        <w:t>.000,00€.</w:t>
      </w:r>
    </w:p>
    <w:p w14:paraId="3D0BB276" w14:textId="47109617" w:rsidR="00D5357F" w:rsidRPr="00DE4F22" w:rsidRDefault="00FD1112">
      <w:pPr>
        <w:jc w:val="both"/>
        <w:rPr>
          <w:rFonts w:eastAsia="Georgia"/>
          <w:color w:val="000000"/>
        </w:rPr>
      </w:pPr>
      <w:r>
        <w:rPr>
          <w:rFonts w:eastAsia="Georgia"/>
          <w:color w:val="000000"/>
        </w:rPr>
        <w:t xml:space="preserve">                                                                                                                             </w:t>
      </w:r>
    </w:p>
    <w:p w14:paraId="6E005E37" w14:textId="79D2C8A1" w:rsidR="00695808" w:rsidRPr="00FD1112" w:rsidRDefault="009C2EB0" w:rsidP="00FD1112">
      <w:pPr>
        <w:pStyle w:val="ListParagraph"/>
        <w:numPr>
          <w:ilvl w:val="1"/>
          <w:numId w:val="25"/>
        </w:numPr>
        <w:rPr>
          <w:rFonts w:ascii="Times New Roman" w:eastAsia="Georgia" w:hAnsi="Times New Roman" w:cs="Times New Roman"/>
          <w:color w:val="000000"/>
          <w:sz w:val="22"/>
          <w:szCs w:val="28"/>
          <w:lang w:val="sr-Latn-ME"/>
        </w:rPr>
      </w:pPr>
      <w:r w:rsidRPr="00FD1112">
        <w:rPr>
          <w:rFonts w:eastAsia="Georgia"/>
          <w:b/>
          <w:color w:val="000000"/>
          <w:szCs w:val="32"/>
        </w:rPr>
        <w:t>Troškovi proizvodnih usluga</w:t>
      </w:r>
    </w:p>
    <w:p w14:paraId="1F2B5580" w14:textId="7F088A1F" w:rsidR="00695808" w:rsidRPr="00DE4F22" w:rsidRDefault="009C2EB0">
      <w:pPr>
        <w:jc w:val="both"/>
        <w:rPr>
          <w:rFonts w:eastAsia="Georgia"/>
          <w:color w:val="000000"/>
        </w:rPr>
      </w:pPr>
      <w:r w:rsidRPr="00DE4F22">
        <w:rPr>
          <w:rFonts w:eastAsia="Georgia"/>
          <w:color w:val="000000"/>
        </w:rPr>
        <w:t xml:space="preserve">Troškovi proizvodnih usluga iskazani su u ukupnom iznosu od </w:t>
      </w:r>
      <w:r w:rsidR="00D3353E">
        <w:rPr>
          <w:rFonts w:eastAsia="Georgia"/>
          <w:b/>
          <w:bCs/>
          <w:color w:val="000000"/>
        </w:rPr>
        <w:t>36</w:t>
      </w:r>
      <w:r w:rsidR="002775BE" w:rsidRPr="00DE4F22">
        <w:rPr>
          <w:rFonts w:eastAsia="Georgia"/>
          <w:b/>
          <w:bCs/>
          <w:color w:val="000000"/>
        </w:rPr>
        <w:t>.</w:t>
      </w:r>
      <w:r w:rsidR="00D3353E">
        <w:rPr>
          <w:rFonts w:eastAsia="Georgia"/>
          <w:b/>
          <w:bCs/>
          <w:color w:val="000000"/>
        </w:rPr>
        <w:t>4</w:t>
      </w:r>
      <w:r w:rsidR="00CE3672">
        <w:rPr>
          <w:rFonts w:eastAsia="Georgia"/>
          <w:b/>
          <w:bCs/>
          <w:color w:val="000000"/>
        </w:rPr>
        <w:t>15</w:t>
      </w:r>
      <w:r w:rsidR="002775BE" w:rsidRPr="00DE4F22">
        <w:rPr>
          <w:rFonts w:eastAsia="Georgia"/>
          <w:b/>
          <w:bCs/>
          <w:color w:val="000000"/>
        </w:rPr>
        <w:t>.</w:t>
      </w:r>
      <w:r w:rsidR="00D3353E">
        <w:rPr>
          <w:rFonts w:eastAsia="Georgia"/>
          <w:b/>
          <w:bCs/>
          <w:color w:val="000000"/>
        </w:rPr>
        <w:t>8</w:t>
      </w:r>
      <w:r w:rsidR="00CE3672">
        <w:rPr>
          <w:rFonts w:eastAsia="Georgia"/>
          <w:b/>
          <w:bCs/>
          <w:color w:val="000000"/>
        </w:rPr>
        <w:t>23</w:t>
      </w:r>
      <w:r w:rsidR="004A06FA" w:rsidRPr="00DE4F22">
        <w:rPr>
          <w:rFonts w:eastAsia="Georgia"/>
          <w:b/>
          <w:bCs/>
          <w:color w:val="000000"/>
        </w:rPr>
        <w:t>,</w:t>
      </w:r>
      <w:r w:rsidR="00CE3672">
        <w:rPr>
          <w:rFonts w:eastAsia="Georgia"/>
          <w:b/>
          <w:bCs/>
          <w:color w:val="000000"/>
        </w:rPr>
        <w:t>00</w:t>
      </w:r>
      <w:r w:rsidRPr="00DE4F22">
        <w:rPr>
          <w:rFonts w:eastAsia="Georgia"/>
          <w:b/>
          <w:bCs/>
          <w:color w:val="000000"/>
        </w:rPr>
        <w:t>€</w:t>
      </w:r>
      <w:r w:rsidRPr="00DE4F22">
        <w:rPr>
          <w:rFonts w:eastAsia="Georgia"/>
          <w:color w:val="000000"/>
        </w:rPr>
        <w:t xml:space="preserve"> i obuhvataju: </w:t>
      </w:r>
    </w:p>
    <w:p w14:paraId="5C7BCA2B" w14:textId="44818D2F" w:rsidR="00404F06" w:rsidRPr="00DE4F22" w:rsidRDefault="00273699" w:rsidP="00404F06">
      <w:pPr>
        <w:pStyle w:val="ListParagraph"/>
        <w:numPr>
          <w:ilvl w:val="2"/>
          <w:numId w:val="32"/>
        </w:numPr>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t xml:space="preserve">Troškove PTT usluga u iznosu od </w:t>
      </w:r>
      <w:r w:rsidR="00D3353E">
        <w:rPr>
          <w:rFonts w:ascii="Times New Roman" w:eastAsia="Georgia" w:hAnsi="Times New Roman" w:cs="Times New Roman"/>
          <w:color w:val="000000"/>
          <w:sz w:val="24"/>
          <w:lang w:val="sr-Latn-ME" w:eastAsia="en-GB"/>
        </w:rPr>
        <w:t>2</w:t>
      </w:r>
      <w:r w:rsidR="000862F3" w:rsidRPr="00DE4F22">
        <w:rPr>
          <w:rFonts w:ascii="Times New Roman" w:eastAsia="Georgia" w:hAnsi="Times New Roman" w:cs="Times New Roman"/>
          <w:color w:val="000000"/>
          <w:sz w:val="24"/>
          <w:lang w:val="sr-Latn-ME" w:eastAsia="en-GB"/>
        </w:rPr>
        <w:t>0</w:t>
      </w:r>
      <w:r w:rsidR="007018F5" w:rsidRPr="00DE4F22">
        <w:rPr>
          <w:rFonts w:ascii="Times New Roman" w:eastAsia="Georgia" w:hAnsi="Times New Roman" w:cs="Times New Roman"/>
          <w:color w:val="000000"/>
          <w:sz w:val="24"/>
          <w:lang w:val="sr-Latn-ME" w:eastAsia="en-GB"/>
        </w:rPr>
        <w:t>.</w:t>
      </w:r>
      <w:r w:rsidRPr="00DE4F22">
        <w:rPr>
          <w:rFonts w:ascii="Times New Roman" w:eastAsia="Georgia" w:hAnsi="Times New Roman" w:cs="Times New Roman"/>
          <w:color w:val="000000"/>
          <w:sz w:val="24"/>
          <w:lang w:val="sr-Latn-ME" w:eastAsia="en-GB"/>
        </w:rPr>
        <w:t>000</w:t>
      </w:r>
      <w:r w:rsidR="007018F5" w:rsidRPr="00DE4F22">
        <w:rPr>
          <w:rFonts w:ascii="Times New Roman" w:eastAsia="Georgia" w:hAnsi="Times New Roman" w:cs="Times New Roman"/>
          <w:color w:val="000000"/>
          <w:sz w:val="24"/>
          <w:lang w:val="sr-Latn-ME" w:eastAsia="en-GB"/>
        </w:rPr>
        <w:t>,</w:t>
      </w:r>
      <w:r w:rsidRPr="00DE4F22">
        <w:rPr>
          <w:rFonts w:ascii="Times New Roman" w:eastAsia="Georgia" w:hAnsi="Times New Roman" w:cs="Times New Roman"/>
          <w:color w:val="000000"/>
          <w:sz w:val="24"/>
          <w:lang w:val="sr-Latn-ME" w:eastAsia="en-GB"/>
        </w:rPr>
        <w:t>00€</w:t>
      </w:r>
      <w:r w:rsidR="00C707A8" w:rsidRPr="00DE4F22">
        <w:rPr>
          <w:rFonts w:ascii="Times New Roman" w:eastAsia="Georgia" w:hAnsi="Times New Roman" w:cs="Times New Roman"/>
          <w:color w:val="000000"/>
          <w:sz w:val="24"/>
          <w:lang w:val="sr-Latn-ME" w:eastAsia="en-GB"/>
        </w:rPr>
        <w:t>, koji obuhvataju troškove fiksne i mobilne telefonije, interneta, slanja pošte i slično</w:t>
      </w:r>
      <w:r w:rsidR="00143D0A" w:rsidRPr="00DE4F22">
        <w:rPr>
          <w:rFonts w:ascii="Times New Roman" w:eastAsia="Georgia" w:hAnsi="Times New Roman" w:cs="Times New Roman"/>
          <w:color w:val="000000"/>
          <w:sz w:val="24"/>
          <w:lang w:val="sr-Latn-ME" w:eastAsia="en-GB"/>
        </w:rPr>
        <w:t>.</w:t>
      </w:r>
    </w:p>
    <w:p w14:paraId="1407B614" w14:textId="69FD266C" w:rsidR="00404F06" w:rsidRPr="00DE4F22" w:rsidRDefault="00C707A8" w:rsidP="00404F06">
      <w:pPr>
        <w:pStyle w:val="ListParagraph"/>
        <w:numPr>
          <w:ilvl w:val="2"/>
          <w:numId w:val="32"/>
        </w:numPr>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t xml:space="preserve">Troškovi usluga održavanja nematerijalne imovine u odnosu od </w:t>
      </w:r>
      <w:r w:rsidR="000862F3" w:rsidRPr="00DE4F22">
        <w:rPr>
          <w:rFonts w:ascii="Times New Roman" w:eastAsia="Georgia" w:hAnsi="Times New Roman" w:cs="Times New Roman"/>
          <w:color w:val="000000"/>
          <w:sz w:val="24"/>
          <w:lang w:val="sr-Latn-ME" w:eastAsia="en-GB"/>
        </w:rPr>
        <w:t>2</w:t>
      </w:r>
      <w:r w:rsidR="008609DD" w:rsidRPr="00DE4F22">
        <w:rPr>
          <w:rFonts w:ascii="Times New Roman" w:eastAsia="Georgia" w:hAnsi="Times New Roman" w:cs="Times New Roman"/>
          <w:color w:val="000000"/>
          <w:sz w:val="24"/>
          <w:lang w:val="sr-Latn-ME" w:eastAsia="en-GB"/>
        </w:rPr>
        <w:t>.</w:t>
      </w:r>
      <w:r w:rsidR="00D3353E">
        <w:rPr>
          <w:rFonts w:ascii="Times New Roman" w:eastAsia="Georgia" w:hAnsi="Times New Roman" w:cs="Times New Roman"/>
          <w:color w:val="000000"/>
          <w:sz w:val="24"/>
          <w:lang w:val="sr-Latn-ME" w:eastAsia="en-GB"/>
        </w:rPr>
        <w:t>50</w:t>
      </w:r>
      <w:r w:rsidRPr="00DE4F22">
        <w:rPr>
          <w:rFonts w:ascii="Times New Roman" w:eastAsia="Georgia" w:hAnsi="Times New Roman" w:cs="Times New Roman"/>
          <w:color w:val="000000"/>
          <w:sz w:val="24"/>
          <w:lang w:val="sr-Latn-ME" w:eastAsia="en-GB"/>
        </w:rPr>
        <w:t>0,00€, a odnose se na održavanje i nadogradnju licence za računovodstveni softver.</w:t>
      </w:r>
    </w:p>
    <w:p w14:paraId="06E0EAAC" w14:textId="57FDA08C" w:rsidR="00404F06" w:rsidRPr="00DE4F22" w:rsidRDefault="00C707A8" w:rsidP="00404F06">
      <w:pPr>
        <w:pStyle w:val="ListParagraph"/>
        <w:numPr>
          <w:ilvl w:val="2"/>
          <w:numId w:val="32"/>
        </w:numPr>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lastRenderedPageBreak/>
        <w:t xml:space="preserve">Troškovi za usluge održavanja opreme odnose se na održavanje vozila koje je uzeto </w:t>
      </w:r>
      <w:r w:rsidR="00E253DF" w:rsidRPr="00DE4F22">
        <w:rPr>
          <w:rFonts w:ascii="Times New Roman" w:eastAsia="Georgia" w:hAnsi="Times New Roman" w:cs="Times New Roman"/>
          <w:color w:val="000000"/>
          <w:sz w:val="24"/>
          <w:lang w:val="sr-Latn-ME" w:eastAsia="en-GB"/>
        </w:rPr>
        <w:t>putem finansijskog lizinga</w:t>
      </w:r>
      <w:r w:rsidR="007018F5" w:rsidRPr="00DE4F22">
        <w:rPr>
          <w:rFonts w:ascii="Times New Roman" w:eastAsia="Georgia" w:hAnsi="Times New Roman" w:cs="Times New Roman"/>
          <w:color w:val="000000"/>
          <w:sz w:val="24"/>
          <w:lang w:val="sr-Latn-ME" w:eastAsia="en-GB"/>
        </w:rPr>
        <w:t>,</w:t>
      </w:r>
      <w:r w:rsidR="000862F3" w:rsidRPr="00DE4F22">
        <w:rPr>
          <w:rFonts w:ascii="Times New Roman" w:eastAsia="Georgia" w:hAnsi="Times New Roman" w:cs="Times New Roman"/>
          <w:color w:val="000000"/>
          <w:sz w:val="24"/>
          <w:lang w:val="sr-Latn-ME" w:eastAsia="en-GB"/>
        </w:rPr>
        <w:t xml:space="preserve"> održavanje nov</w:t>
      </w:r>
      <w:r w:rsidR="00491071">
        <w:rPr>
          <w:rFonts w:ascii="Times New Roman" w:eastAsia="Georgia" w:hAnsi="Times New Roman" w:cs="Times New Roman"/>
          <w:color w:val="000000"/>
          <w:sz w:val="24"/>
          <w:lang w:val="sr-Latn-ME" w:eastAsia="en-GB"/>
        </w:rPr>
        <w:t>ih</w:t>
      </w:r>
      <w:r w:rsidR="000862F3" w:rsidRPr="00DE4F22">
        <w:rPr>
          <w:rFonts w:ascii="Times New Roman" w:eastAsia="Georgia" w:hAnsi="Times New Roman" w:cs="Times New Roman"/>
          <w:color w:val="000000"/>
          <w:sz w:val="24"/>
          <w:lang w:val="sr-Latn-ME" w:eastAsia="en-GB"/>
        </w:rPr>
        <w:t xml:space="preserve"> vozila,</w:t>
      </w:r>
      <w:r w:rsidR="007018F5" w:rsidRPr="00DE4F22">
        <w:rPr>
          <w:rFonts w:ascii="Times New Roman" w:eastAsia="Georgia" w:hAnsi="Times New Roman" w:cs="Times New Roman"/>
          <w:color w:val="000000"/>
          <w:sz w:val="24"/>
          <w:lang w:val="sr-Latn-ME" w:eastAsia="en-GB"/>
        </w:rPr>
        <w:t xml:space="preserve"> kao i opreme u kancelarijama planirani su u iznosu od </w:t>
      </w:r>
      <w:r w:rsidR="00491071">
        <w:rPr>
          <w:rFonts w:ascii="Times New Roman" w:eastAsia="Georgia" w:hAnsi="Times New Roman" w:cs="Times New Roman"/>
          <w:color w:val="000000"/>
          <w:sz w:val="24"/>
          <w:lang w:val="sr-Latn-ME" w:eastAsia="en-GB"/>
        </w:rPr>
        <w:t>10</w:t>
      </w:r>
      <w:r w:rsidR="007018F5" w:rsidRPr="00DE4F22">
        <w:rPr>
          <w:rFonts w:ascii="Times New Roman" w:eastAsia="Georgia" w:hAnsi="Times New Roman" w:cs="Times New Roman"/>
          <w:color w:val="000000"/>
          <w:sz w:val="24"/>
          <w:lang w:val="sr-Latn-ME" w:eastAsia="en-GB"/>
        </w:rPr>
        <w:t>.</w:t>
      </w:r>
      <w:r w:rsidR="000862F3" w:rsidRPr="00DE4F22">
        <w:rPr>
          <w:rFonts w:ascii="Times New Roman" w:eastAsia="Georgia" w:hAnsi="Times New Roman" w:cs="Times New Roman"/>
          <w:color w:val="000000"/>
          <w:sz w:val="24"/>
          <w:lang w:val="sr-Latn-ME" w:eastAsia="en-GB"/>
        </w:rPr>
        <w:t>0</w:t>
      </w:r>
      <w:r w:rsidR="007018F5" w:rsidRPr="00DE4F22">
        <w:rPr>
          <w:rFonts w:ascii="Times New Roman" w:eastAsia="Georgia" w:hAnsi="Times New Roman" w:cs="Times New Roman"/>
          <w:color w:val="000000"/>
          <w:sz w:val="24"/>
          <w:lang w:val="sr-Latn-ME" w:eastAsia="en-GB"/>
        </w:rPr>
        <w:t>00,00€.</w:t>
      </w:r>
    </w:p>
    <w:p w14:paraId="7D976DF2" w14:textId="38050F60" w:rsidR="00404F06" w:rsidRPr="00DE4F22" w:rsidRDefault="00C707A8" w:rsidP="00404F06">
      <w:pPr>
        <w:pStyle w:val="ListParagraph"/>
        <w:numPr>
          <w:ilvl w:val="2"/>
          <w:numId w:val="32"/>
        </w:numPr>
        <w:rPr>
          <w:rFonts w:ascii="Times New Roman" w:eastAsia="Georgia" w:hAnsi="Times New Roman" w:cs="Times New Roman"/>
          <w:color w:val="000000" w:themeColor="text1"/>
          <w:sz w:val="24"/>
          <w:lang w:val="sr-Latn-ME" w:eastAsia="en-GB"/>
        </w:rPr>
      </w:pPr>
      <w:r w:rsidRPr="00DE4F22">
        <w:rPr>
          <w:rFonts w:ascii="Times New Roman" w:eastAsia="Georgia" w:hAnsi="Times New Roman" w:cs="Times New Roman"/>
          <w:color w:val="000000"/>
          <w:sz w:val="24"/>
          <w:lang w:val="sr-Latn-ME" w:eastAsia="en-GB"/>
        </w:rPr>
        <w:t>Troškovi zakupnina poslovnih prostorija planiran</w:t>
      </w:r>
      <w:r w:rsidR="007D2E6F" w:rsidRPr="00DE4F22">
        <w:rPr>
          <w:rFonts w:ascii="Times New Roman" w:eastAsia="Georgia" w:hAnsi="Times New Roman" w:cs="Times New Roman"/>
          <w:color w:val="000000"/>
          <w:sz w:val="24"/>
          <w:lang w:val="sr-Latn-ME" w:eastAsia="en-GB"/>
        </w:rPr>
        <w:t>i</w:t>
      </w:r>
      <w:r w:rsidRPr="00DE4F22">
        <w:rPr>
          <w:rFonts w:ascii="Times New Roman" w:eastAsia="Georgia" w:hAnsi="Times New Roman" w:cs="Times New Roman"/>
          <w:color w:val="000000"/>
          <w:sz w:val="24"/>
          <w:lang w:val="sr-Latn-ME" w:eastAsia="en-GB"/>
        </w:rPr>
        <w:t xml:space="preserve"> su u iznosu od </w:t>
      </w:r>
      <w:r w:rsidR="000862F3" w:rsidRPr="00DE4F22">
        <w:rPr>
          <w:rFonts w:ascii="Times New Roman" w:eastAsia="Georgia" w:hAnsi="Times New Roman" w:cs="Times New Roman"/>
          <w:color w:val="000000"/>
          <w:sz w:val="24"/>
          <w:lang w:val="sr-Latn-ME" w:eastAsia="en-GB"/>
        </w:rPr>
        <w:t>45</w:t>
      </w:r>
      <w:r w:rsidR="002731ED" w:rsidRPr="00DE4F22">
        <w:rPr>
          <w:rFonts w:ascii="Times New Roman" w:eastAsia="Georgia" w:hAnsi="Times New Roman" w:cs="Times New Roman"/>
          <w:color w:val="000000"/>
          <w:sz w:val="24"/>
          <w:lang w:val="sr-Latn-ME" w:eastAsia="en-GB"/>
        </w:rPr>
        <w:t>.</w:t>
      </w:r>
      <w:r w:rsidR="00D5357F" w:rsidRPr="00DE4F22">
        <w:rPr>
          <w:rFonts w:ascii="Times New Roman" w:eastAsia="Georgia" w:hAnsi="Times New Roman" w:cs="Times New Roman"/>
          <w:color w:val="000000"/>
          <w:sz w:val="24"/>
          <w:lang w:val="sr-Latn-ME" w:eastAsia="en-GB"/>
        </w:rPr>
        <w:t>0</w:t>
      </w:r>
      <w:r w:rsidR="000862F3" w:rsidRPr="00DE4F22">
        <w:rPr>
          <w:rFonts w:ascii="Times New Roman" w:eastAsia="Georgia" w:hAnsi="Times New Roman" w:cs="Times New Roman"/>
          <w:color w:val="000000"/>
          <w:sz w:val="24"/>
          <w:lang w:val="sr-Latn-ME" w:eastAsia="en-GB"/>
        </w:rPr>
        <w:t>0</w:t>
      </w:r>
      <w:r w:rsidR="00D5357F" w:rsidRPr="00DE4F22">
        <w:rPr>
          <w:rFonts w:ascii="Times New Roman" w:eastAsia="Georgia" w:hAnsi="Times New Roman" w:cs="Times New Roman"/>
          <w:color w:val="000000"/>
          <w:sz w:val="24"/>
          <w:lang w:val="sr-Latn-ME" w:eastAsia="en-GB"/>
        </w:rPr>
        <w:t>0</w:t>
      </w:r>
      <w:r w:rsidR="002731ED" w:rsidRPr="00DE4F22">
        <w:rPr>
          <w:rFonts w:ascii="Times New Roman" w:eastAsia="Georgia" w:hAnsi="Times New Roman" w:cs="Times New Roman"/>
          <w:color w:val="000000"/>
          <w:sz w:val="24"/>
          <w:lang w:val="sr-Latn-ME" w:eastAsia="en-GB"/>
        </w:rPr>
        <w:t>,</w:t>
      </w:r>
      <w:r w:rsidRPr="00DE4F22">
        <w:rPr>
          <w:rFonts w:ascii="Times New Roman" w:eastAsia="Georgia" w:hAnsi="Times New Roman" w:cs="Times New Roman"/>
          <w:color w:val="000000"/>
          <w:sz w:val="24"/>
          <w:lang w:val="sr-Latn-ME" w:eastAsia="en-GB"/>
        </w:rPr>
        <w:t>00€.</w:t>
      </w:r>
      <w:r w:rsidR="009B1D4B" w:rsidRPr="00DE4F22">
        <w:rPr>
          <w:rFonts w:ascii="Times New Roman" w:eastAsia="Georgia" w:hAnsi="Times New Roman" w:cs="Times New Roman"/>
          <w:color w:val="000000"/>
          <w:sz w:val="24"/>
          <w:lang w:val="sr-Latn-ME" w:eastAsia="en-GB"/>
        </w:rPr>
        <w:t xml:space="preserve"> </w:t>
      </w:r>
    </w:p>
    <w:p w14:paraId="3561D639" w14:textId="64D9157E" w:rsidR="00404F06" w:rsidRPr="00DE4F22" w:rsidRDefault="00324409" w:rsidP="00404F06">
      <w:pPr>
        <w:pStyle w:val="ListParagraph"/>
        <w:numPr>
          <w:ilvl w:val="2"/>
          <w:numId w:val="32"/>
        </w:numPr>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t xml:space="preserve">Troškovi marketinga planirani su u iznosu od </w:t>
      </w:r>
      <w:r w:rsidR="00491071">
        <w:rPr>
          <w:rFonts w:ascii="Times New Roman" w:eastAsia="Georgia" w:hAnsi="Times New Roman" w:cs="Times New Roman"/>
          <w:color w:val="000000"/>
          <w:sz w:val="24"/>
          <w:lang w:val="sr-Latn-ME" w:eastAsia="en-GB"/>
        </w:rPr>
        <w:t>3</w:t>
      </w:r>
      <w:r w:rsidRPr="00DE4F22">
        <w:rPr>
          <w:rFonts w:ascii="Times New Roman" w:eastAsia="Georgia" w:hAnsi="Times New Roman" w:cs="Times New Roman"/>
          <w:color w:val="000000"/>
          <w:sz w:val="24"/>
          <w:lang w:val="sr-Latn-ME" w:eastAsia="en-GB"/>
        </w:rPr>
        <w:t>0</w:t>
      </w:r>
      <w:r w:rsidR="002731ED" w:rsidRPr="00DE4F22">
        <w:rPr>
          <w:rFonts w:ascii="Times New Roman" w:eastAsia="Georgia" w:hAnsi="Times New Roman" w:cs="Times New Roman"/>
          <w:color w:val="000000"/>
          <w:sz w:val="24"/>
          <w:lang w:val="sr-Latn-ME" w:eastAsia="en-GB"/>
        </w:rPr>
        <w:t>.</w:t>
      </w:r>
      <w:r w:rsidRPr="00DE4F22">
        <w:rPr>
          <w:rFonts w:ascii="Times New Roman" w:eastAsia="Georgia" w:hAnsi="Times New Roman" w:cs="Times New Roman"/>
          <w:color w:val="000000"/>
          <w:sz w:val="24"/>
          <w:lang w:val="sr-Latn-ME" w:eastAsia="en-GB"/>
        </w:rPr>
        <w:t>000</w:t>
      </w:r>
      <w:r w:rsidR="002731ED" w:rsidRPr="00DE4F22">
        <w:rPr>
          <w:rFonts w:ascii="Times New Roman" w:eastAsia="Georgia" w:hAnsi="Times New Roman" w:cs="Times New Roman"/>
          <w:color w:val="000000"/>
          <w:sz w:val="24"/>
          <w:lang w:val="sr-Latn-ME" w:eastAsia="en-GB"/>
        </w:rPr>
        <w:t>,</w:t>
      </w:r>
      <w:r w:rsidRPr="00DE4F22">
        <w:rPr>
          <w:rFonts w:ascii="Times New Roman" w:eastAsia="Georgia" w:hAnsi="Times New Roman" w:cs="Times New Roman"/>
          <w:color w:val="000000"/>
          <w:sz w:val="24"/>
          <w:lang w:val="sr-Latn-ME" w:eastAsia="en-GB"/>
        </w:rPr>
        <w:t xml:space="preserve">00€. Planirana sredstva </w:t>
      </w:r>
      <w:r w:rsidR="00E11E15" w:rsidRPr="00DE4F22">
        <w:rPr>
          <w:rFonts w:ascii="Times New Roman" w:eastAsia="Georgia" w:hAnsi="Times New Roman" w:cs="Times New Roman"/>
          <w:color w:val="000000"/>
          <w:sz w:val="24"/>
          <w:lang w:val="sr-Latn-ME" w:eastAsia="en-GB"/>
        </w:rPr>
        <w:t>će se</w:t>
      </w:r>
      <w:r w:rsidR="00D474B9" w:rsidRPr="00DE4F22">
        <w:rPr>
          <w:rFonts w:ascii="Times New Roman" w:eastAsia="Georgia" w:hAnsi="Times New Roman" w:cs="Times New Roman"/>
          <w:color w:val="000000"/>
          <w:sz w:val="24"/>
          <w:lang w:val="sr-Latn-ME" w:eastAsia="en-GB"/>
        </w:rPr>
        <w:t xml:space="preserve"> iskoristiti</w:t>
      </w:r>
      <w:r w:rsidR="00E11E15" w:rsidRPr="00DE4F22">
        <w:rPr>
          <w:rFonts w:ascii="Times New Roman" w:eastAsia="Georgia" w:hAnsi="Times New Roman" w:cs="Times New Roman"/>
          <w:color w:val="000000"/>
          <w:sz w:val="24"/>
          <w:lang w:val="sr-Latn-ME" w:eastAsia="en-GB"/>
        </w:rPr>
        <w:t xml:space="preserve"> za promociju planiranih projekata</w:t>
      </w:r>
      <w:r w:rsidR="000074D9" w:rsidRPr="00DE4F22">
        <w:rPr>
          <w:rFonts w:ascii="Times New Roman" w:eastAsia="Georgia" w:hAnsi="Times New Roman" w:cs="Times New Roman"/>
          <w:color w:val="000000"/>
          <w:sz w:val="24"/>
          <w:lang w:val="sr-Latn-ME" w:eastAsia="en-GB"/>
        </w:rPr>
        <w:t>. Planirano je da se promocij</w:t>
      </w:r>
      <w:r w:rsidR="00AC338F" w:rsidRPr="00DE4F22">
        <w:rPr>
          <w:rFonts w:ascii="Times New Roman" w:eastAsia="Georgia" w:hAnsi="Times New Roman" w:cs="Times New Roman"/>
          <w:color w:val="000000"/>
          <w:sz w:val="24"/>
          <w:lang w:val="sr-Latn-ME" w:eastAsia="en-GB"/>
        </w:rPr>
        <w:t>e</w:t>
      </w:r>
      <w:r w:rsidR="000074D9" w:rsidRPr="00DE4F22">
        <w:rPr>
          <w:rFonts w:ascii="Times New Roman" w:eastAsia="Georgia" w:hAnsi="Times New Roman" w:cs="Times New Roman"/>
          <w:color w:val="000000"/>
          <w:sz w:val="24"/>
          <w:lang w:val="sr-Latn-ME" w:eastAsia="en-GB"/>
        </w:rPr>
        <w:t xml:space="preserve"> vrše putem televizijskih emitera</w:t>
      </w:r>
      <w:r w:rsidR="00143D0A" w:rsidRPr="00DE4F22">
        <w:rPr>
          <w:rFonts w:ascii="Times New Roman" w:eastAsia="Georgia" w:hAnsi="Times New Roman" w:cs="Times New Roman"/>
          <w:color w:val="000000"/>
          <w:sz w:val="24"/>
          <w:lang w:val="sr-Latn-ME" w:eastAsia="en-GB"/>
        </w:rPr>
        <w:t>,</w:t>
      </w:r>
      <w:r w:rsidR="000862F3" w:rsidRPr="00DE4F22">
        <w:rPr>
          <w:rFonts w:ascii="Times New Roman" w:eastAsia="Georgia" w:hAnsi="Times New Roman" w:cs="Times New Roman"/>
          <w:color w:val="000000"/>
          <w:sz w:val="24"/>
          <w:lang w:val="sr-Latn-ME" w:eastAsia="en-GB"/>
        </w:rPr>
        <w:t xml:space="preserve"> društvenih mreža,</w:t>
      </w:r>
      <w:r w:rsidR="000074D9" w:rsidRPr="00DE4F22">
        <w:rPr>
          <w:rFonts w:ascii="Times New Roman" w:eastAsia="Georgia" w:hAnsi="Times New Roman" w:cs="Times New Roman"/>
          <w:color w:val="000000"/>
          <w:sz w:val="24"/>
          <w:lang w:val="sr-Latn-ME" w:eastAsia="en-GB"/>
        </w:rPr>
        <w:t xml:space="preserve"> kao i putem veb</w:t>
      </w:r>
      <w:r w:rsidR="00D474B9" w:rsidRPr="00DE4F22">
        <w:rPr>
          <w:rFonts w:ascii="Times New Roman" w:eastAsia="Georgia" w:hAnsi="Times New Roman" w:cs="Times New Roman"/>
          <w:color w:val="000000"/>
          <w:sz w:val="24"/>
          <w:lang w:val="sr-Latn-ME" w:eastAsia="en-GB"/>
        </w:rPr>
        <w:t>-</w:t>
      </w:r>
      <w:r w:rsidR="000074D9" w:rsidRPr="00DE4F22">
        <w:rPr>
          <w:rFonts w:ascii="Times New Roman" w:eastAsia="Georgia" w:hAnsi="Times New Roman" w:cs="Times New Roman"/>
          <w:color w:val="000000"/>
          <w:sz w:val="24"/>
          <w:lang w:val="sr-Latn-ME" w:eastAsia="en-GB"/>
        </w:rPr>
        <w:t xml:space="preserve">portala. Uzimajući u obzir da </w:t>
      </w:r>
      <w:r w:rsidR="00CE0E99" w:rsidRPr="00DE4F22">
        <w:rPr>
          <w:rFonts w:ascii="Times New Roman" w:eastAsia="Georgia" w:hAnsi="Times New Roman" w:cs="Times New Roman"/>
          <w:color w:val="000000"/>
          <w:sz w:val="24"/>
          <w:lang w:val="sr-Latn-ME" w:eastAsia="en-GB"/>
        </w:rPr>
        <w:t>Eko-fond</w:t>
      </w:r>
      <w:r w:rsidR="000074D9" w:rsidRPr="00DE4F22">
        <w:rPr>
          <w:rFonts w:ascii="Times New Roman" w:eastAsia="Georgia" w:hAnsi="Times New Roman" w:cs="Times New Roman"/>
          <w:color w:val="000000"/>
          <w:sz w:val="24"/>
          <w:lang w:val="sr-Latn-ME" w:eastAsia="en-GB"/>
        </w:rPr>
        <w:t xml:space="preserve"> raspisuje javne</w:t>
      </w:r>
      <w:r w:rsidR="00C07321" w:rsidRPr="00DE4F22">
        <w:rPr>
          <w:rFonts w:ascii="Times New Roman" w:eastAsia="Georgia" w:hAnsi="Times New Roman" w:cs="Times New Roman"/>
          <w:color w:val="000000"/>
          <w:sz w:val="24"/>
          <w:lang w:val="sr-Latn-ME" w:eastAsia="en-GB"/>
        </w:rPr>
        <w:t xml:space="preserve"> konkurse</w:t>
      </w:r>
      <w:r w:rsidR="000074D9" w:rsidRPr="00DE4F22">
        <w:rPr>
          <w:rFonts w:ascii="Times New Roman" w:eastAsia="Georgia" w:hAnsi="Times New Roman" w:cs="Times New Roman"/>
          <w:color w:val="000000"/>
          <w:sz w:val="24"/>
          <w:lang w:val="sr-Latn-ME" w:eastAsia="en-GB"/>
        </w:rPr>
        <w:t xml:space="preserve"> od ključnog je značaja da se javnost informiše o svim detaljima i benefitima planiranih projekata. </w:t>
      </w:r>
    </w:p>
    <w:p w14:paraId="0564258C" w14:textId="2965179C" w:rsidR="004510B0" w:rsidRPr="00DE4F22" w:rsidRDefault="00324409" w:rsidP="00404F06">
      <w:pPr>
        <w:pStyle w:val="ListParagraph"/>
        <w:numPr>
          <w:ilvl w:val="2"/>
          <w:numId w:val="32"/>
        </w:numPr>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t>Rashodi za realizaciju projekata utvrđeni su na osnov</w:t>
      </w:r>
      <w:r w:rsidR="002731ED" w:rsidRPr="00DE4F22">
        <w:rPr>
          <w:rFonts w:ascii="Times New Roman" w:eastAsia="Georgia" w:hAnsi="Times New Roman" w:cs="Times New Roman"/>
          <w:color w:val="000000"/>
          <w:sz w:val="24"/>
          <w:lang w:val="sr-Latn-ME" w:eastAsia="en-GB"/>
        </w:rPr>
        <w:t>u</w:t>
      </w:r>
      <w:r w:rsidRPr="00DE4F22">
        <w:rPr>
          <w:rFonts w:ascii="Times New Roman" w:eastAsia="Georgia" w:hAnsi="Times New Roman" w:cs="Times New Roman"/>
          <w:color w:val="000000"/>
          <w:sz w:val="24"/>
          <w:lang w:val="sr-Latn-ME" w:eastAsia="en-GB"/>
        </w:rPr>
        <w:t xml:space="preserve"> Programa rada</w:t>
      </w:r>
      <w:r w:rsidR="00D45E2D" w:rsidRPr="00DE4F22">
        <w:rPr>
          <w:rFonts w:ascii="Times New Roman" w:eastAsia="Georgia" w:hAnsi="Times New Roman" w:cs="Times New Roman"/>
          <w:color w:val="000000"/>
          <w:sz w:val="24"/>
          <w:lang w:val="sr-Latn-ME" w:eastAsia="en-GB"/>
        </w:rPr>
        <w:t xml:space="preserve"> za 202</w:t>
      </w:r>
      <w:r w:rsidR="00491071">
        <w:rPr>
          <w:rFonts w:ascii="Times New Roman" w:eastAsia="Georgia" w:hAnsi="Times New Roman" w:cs="Times New Roman"/>
          <w:color w:val="000000"/>
          <w:sz w:val="24"/>
          <w:lang w:val="sr-Latn-ME" w:eastAsia="en-GB"/>
        </w:rPr>
        <w:t>5</w:t>
      </w:r>
      <w:r w:rsidR="00D45E2D" w:rsidRPr="00DE4F22">
        <w:rPr>
          <w:rFonts w:ascii="Times New Roman" w:eastAsia="Georgia" w:hAnsi="Times New Roman" w:cs="Times New Roman"/>
          <w:color w:val="000000"/>
          <w:sz w:val="24"/>
          <w:lang w:val="sr-Latn-ME" w:eastAsia="en-GB"/>
        </w:rPr>
        <w:t>. godinu</w:t>
      </w:r>
      <w:r w:rsidRPr="00DE4F22">
        <w:rPr>
          <w:rFonts w:ascii="Times New Roman" w:eastAsia="Georgia" w:hAnsi="Times New Roman" w:cs="Times New Roman"/>
          <w:color w:val="000000"/>
          <w:sz w:val="24"/>
          <w:lang w:val="sr-Latn-ME" w:eastAsia="en-GB"/>
        </w:rPr>
        <w:t xml:space="preserve"> i iznose </w:t>
      </w:r>
      <w:r w:rsidR="00491071">
        <w:rPr>
          <w:rFonts w:ascii="Times New Roman" w:eastAsia="Georgia" w:hAnsi="Times New Roman" w:cs="Times New Roman"/>
          <w:color w:val="000000"/>
          <w:sz w:val="24"/>
          <w:lang w:val="sr-Latn-ME" w:eastAsia="en-GB"/>
        </w:rPr>
        <w:t>6</w:t>
      </w:r>
      <w:r w:rsidR="004A06FA" w:rsidRPr="00DE4F22">
        <w:rPr>
          <w:rFonts w:ascii="Times New Roman" w:eastAsia="Georgia" w:hAnsi="Times New Roman" w:cs="Times New Roman"/>
          <w:color w:val="000000"/>
          <w:sz w:val="24"/>
          <w:lang w:val="sr-Latn-ME" w:eastAsia="en-GB"/>
        </w:rPr>
        <w:t>.</w:t>
      </w:r>
      <w:r w:rsidR="007307BA">
        <w:rPr>
          <w:rFonts w:ascii="Times New Roman" w:eastAsia="Georgia" w:hAnsi="Times New Roman" w:cs="Times New Roman"/>
          <w:color w:val="000000"/>
          <w:sz w:val="24"/>
          <w:lang w:val="sr-Latn-ME" w:eastAsia="en-GB"/>
        </w:rPr>
        <w:t>205</w:t>
      </w:r>
      <w:r w:rsidR="006C3642" w:rsidRPr="00DE4F22">
        <w:rPr>
          <w:rFonts w:ascii="Times New Roman" w:eastAsia="Georgia" w:hAnsi="Times New Roman" w:cs="Times New Roman"/>
          <w:color w:val="000000"/>
          <w:sz w:val="24"/>
          <w:lang w:val="sr-Latn-ME" w:eastAsia="en-GB"/>
        </w:rPr>
        <w:t>.</w:t>
      </w:r>
      <w:r w:rsidR="007307BA">
        <w:rPr>
          <w:rFonts w:ascii="Times New Roman" w:eastAsia="Georgia" w:hAnsi="Times New Roman" w:cs="Times New Roman"/>
          <w:color w:val="000000"/>
          <w:sz w:val="24"/>
          <w:lang w:val="sr-Latn-ME" w:eastAsia="en-GB"/>
        </w:rPr>
        <w:t>000</w:t>
      </w:r>
      <w:r w:rsidR="004A06FA" w:rsidRPr="00DE4F22">
        <w:rPr>
          <w:rFonts w:ascii="Times New Roman" w:eastAsia="Georgia" w:hAnsi="Times New Roman" w:cs="Times New Roman"/>
          <w:color w:val="000000"/>
          <w:sz w:val="24"/>
          <w:lang w:val="sr-Latn-ME" w:eastAsia="en-GB"/>
        </w:rPr>
        <w:t>,</w:t>
      </w:r>
      <w:r w:rsidR="00491071">
        <w:rPr>
          <w:rFonts w:ascii="Times New Roman" w:eastAsia="Georgia" w:hAnsi="Times New Roman" w:cs="Times New Roman"/>
          <w:color w:val="000000"/>
          <w:sz w:val="24"/>
          <w:lang w:val="sr-Latn-ME" w:eastAsia="en-GB"/>
        </w:rPr>
        <w:t>00</w:t>
      </w:r>
      <w:r w:rsidRPr="00DE4F22">
        <w:rPr>
          <w:rFonts w:ascii="Times New Roman" w:eastAsia="Georgia" w:hAnsi="Times New Roman" w:cs="Times New Roman"/>
          <w:color w:val="000000"/>
          <w:sz w:val="24"/>
          <w:lang w:val="sr-Latn-ME" w:eastAsia="en-GB"/>
        </w:rPr>
        <w:t>€</w:t>
      </w:r>
      <w:r w:rsidR="007307BA">
        <w:rPr>
          <w:rFonts w:ascii="Times New Roman" w:eastAsia="Georgia" w:hAnsi="Times New Roman" w:cs="Times New Roman"/>
          <w:color w:val="000000"/>
          <w:sz w:val="24"/>
          <w:lang w:val="sr-Latn-ME" w:eastAsia="en-GB"/>
        </w:rPr>
        <w:t xml:space="preserve"> od priliva aukcije, medjunarodna saradnja u iznosu od 1.167.430,00</w:t>
      </w:r>
      <w:r w:rsidR="007307BA" w:rsidRPr="00DE4F22">
        <w:rPr>
          <w:rFonts w:ascii="Times New Roman" w:eastAsia="Georgia" w:hAnsi="Times New Roman" w:cs="Times New Roman"/>
          <w:color w:val="000000"/>
          <w:sz w:val="24"/>
          <w:lang w:val="sr-Latn-ME" w:eastAsia="en-GB"/>
        </w:rPr>
        <w:t>€</w:t>
      </w:r>
      <w:r w:rsidR="007307BA">
        <w:rPr>
          <w:rFonts w:ascii="Times New Roman" w:eastAsia="Georgia" w:hAnsi="Times New Roman" w:cs="Times New Roman"/>
          <w:color w:val="000000"/>
          <w:sz w:val="24"/>
          <w:lang w:val="sr-Latn-ME" w:eastAsia="en-GB"/>
        </w:rPr>
        <w:t>, prenijeta sredstva za realizaciju projekata u iznosu od 29.043.393,38</w:t>
      </w:r>
      <w:r w:rsidR="007307BA" w:rsidRPr="00DE4F22">
        <w:rPr>
          <w:rFonts w:ascii="Times New Roman" w:eastAsia="Georgia" w:hAnsi="Times New Roman" w:cs="Times New Roman"/>
          <w:color w:val="000000"/>
          <w:sz w:val="24"/>
          <w:lang w:val="sr-Latn-ME" w:eastAsia="en-GB"/>
        </w:rPr>
        <w:t>€</w:t>
      </w:r>
      <w:r w:rsidR="007307BA">
        <w:rPr>
          <w:rFonts w:ascii="Times New Roman" w:eastAsia="Georgia" w:hAnsi="Times New Roman" w:cs="Times New Roman"/>
          <w:color w:val="000000"/>
          <w:sz w:val="24"/>
          <w:lang w:val="sr-Latn-ME" w:eastAsia="en-GB"/>
        </w:rPr>
        <w:t>. (ukupan iznos 36.415.823,00</w:t>
      </w:r>
      <w:r w:rsidR="007307BA" w:rsidRPr="00DE4F22">
        <w:rPr>
          <w:rFonts w:ascii="Times New Roman" w:eastAsia="Georgia" w:hAnsi="Times New Roman" w:cs="Times New Roman"/>
          <w:color w:val="000000"/>
          <w:sz w:val="24"/>
          <w:lang w:val="sr-Latn-ME" w:eastAsia="en-GB"/>
        </w:rPr>
        <w:t>€</w:t>
      </w:r>
      <w:r w:rsidR="007307BA">
        <w:rPr>
          <w:rFonts w:ascii="Times New Roman" w:eastAsia="Georgia" w:hAnsi="Times New Roman" w:cs="Times New Roman"/>
          <w:color w:val="000000"/>
          <w:sz w:val="24"/>
          <w:lang w:val="sr-Latn-ME" w:eastAsia="en-GB"/>
        </w:rPr>
        <w:t>)</w:t>
      </w:r>
    </w:p>
    <w:p w14:paraId="6E01215B" w14:textId="77777777" w:rsidR="004510B0" w:rsidRPr="00DE4F22" w:rsidRDefault="004510B0" w:rsidP="004510B0">
      <w:pPr>
        <w:rPr>
          <w:rFonts w:eastAsia="Georgia"/>
          <w:color w:val="000000"/>
        </w:rPr>
      </w:pPr>
    </w:p>
    <w:p w14:paraId="3C69946C" w14:textId="6F65047E" w:rsidR="00217071" w:rsidRPr="00DE4F22" w:rsidRDefault="00CA13D3" w:rsidP="006A3510">
      <w:pPr>
        <w:rPr>
          <w:color w:val="000000"/>
        </w:rPr>
      </w:pPr>
      <w:r w:rsidRPr="00DE4F22">
        <w:rPr>
          <w:color w:val="000000"/>
        </w:rPr>
        <w:t>U tabeli u nastavku prikazan je pregled projekata podijeljenih po službama:</w:t>
      </w:r>
    </w:p>
    <w:p w14:paraId="116A45CB" w14:textId="77777777" w:rsidR="008012C0" w:rsidRPr="00DE4F22" w:rsidRDefault="008012C0" w:rsidP="006A3510">
      <w:pPr>
        <w:rPr>
          <w:color w:val="000000"/>
        </w:rPr>
      </w:pPr>
    </w:p>
    <w:p w14:paraId="769EDD65" w14:textId="77777777" w:rsidR="006B6EEE" w:rsidRDefault="006B6EEE" w:rsidP="00CE0E99"/>
    <w:p w14:paraId="3F9F560F" w14:textId="77777777" w:rsidR="00E14507" w:rsidRDefault="00E14507" w:rsidP="00CE0E99"/>
    <w:p w14:paraId="6BFF9947" w14:textId="77777777" w:rsidR="00E14507" w:rsidRDefault="00E14507" w:rsidP="00CE0E99"/>
    <w:p w14:paraId="1BD31E0F" w14:textId="77777777" w:rsidR="00E14507" w:rsidRDefault="00E14507" w:rsidP="00CE0E99"/>
    <w:p w14:paraId="459C6C42" w14:textId="77777777" w:rsidR="00E14507" w:rsidRDefault="00E14507" w:rsidP="00CE0E99"/>
    <w:p w14:paraId="40EE96D2" w14:textId="77777777" w:rsidR="00E14507" w:rsidRPr="00DE4F22" w:rsidRDefault="00E14507" w:rsidP="00CE0E99">
      <w:pPr>
        <w:sectPr w:rsidR="00E14507" w:rsidRPr="00DE4F22" w:rsidSect="00E71E0E">
          <w:footerReference w:type="default" r:id="rId13"/>
          <w:type w:val="continuous"/>
          <w:pgSz w:w="11906" w:h="16838"/>
          <w:pgMar w:top="1440" w:right="1440" w:bottom="851" w:left="1440" w:header="284" w:footer="567" w:gutter="0"/>
          <w:cols w:space="720"/>
          <w:titlePg/>
        </w:sectPr>
      </w:pPr>
    </w:p>
    <w:tbl>
      <w:tblPr>
        <w:tblpPr w:leftFromText="180" w:rightFromText="180" w:vertAnchor="text" w:tblpY="1"/>
        <w:tblOverlap w:val="never"/>
        <w:tblW w:w="0" w:type="auto"/>
        <w:tblLayout w:type="fixed"/>
        <w:tblLook w:val="04A0" w:firstRow="1" w:lastRow="0" w:firstColumn="1" w:lastColumn="0" w:noHBand="0" w:noVBand="1"/>
      </w:tblPr>
      <w:tblGrid>
        <w:gridCol w:w="1116"/>
        <w:gridCol w:w="11335"/>
        <w:gridCol w:w="1461"/>
      </w:tblGrid>
      <w:tr w:rsidR="006B6EEE" w:rsidRPr="00DE4F22" w14:paraId="36EF3C01" w14:textId="77777777" w:rsidTr="00D36322">
        <w:trPr>
          <w:trHeight w:val="381"/>
        </w:trPr>
        <w:tc>
          <w:tcPr>
            <w:tcW w:w="1116" w:type="dxa"/>
            <w:tcBorders>
              <w:top w:val="double" w:sz="6" w:space="0" w:color="auto"/>
              <w:left w:val="double" w:sz="6" w:space="0" w:color="auto"/>
              <w:bottom w:val="single" w:sz="4" w:space="0" w:color="auto"/>
              <w:right w:val="single" w:sz="4" w:space="0" w:color="auto"/>
            </w:tcBorders>
            <w:shd w:val="clear" w:color="000000" w:fill="BFBFBF"/>
            <w:noWrap/>
            <w:vAlign w:val="center"/>
            <w:hideMark/>
          </w:tcPr>
          <w:p w14:paraId="3FE025B5" w14:textId="77777777" w:rsidR="006B6EEE" w:rsidRPr="00DE4F22" w:rsidRDefault="006B6EEE" w:rsidP="00D36322">
            <w:pPr>
              <w:jc w:val="center"/>
              <w:rPr>
                <w:b/>
                <w:bCs/>
                <w:sz w:val="20"/>
                <w:szCs w:val="20"/>
              </w:rPr>
            </w:pPr>
            <w:r w:rsidRPr="00DE4F22">
              <w:rPr>
                <w:b/>
                <w:bCs/>
                <w:sz w:val="20"/>
                <w:szCs w:val="20"/>
              </w:rPr>
              <w:lastRenderedPageBreak/>
              <w:t>Redni broj</w:t>
            </w:r>
          </w:p>
        </w:tc>
        <w:tc>
          <w:tcPr>
            <w:tcW w:w="11335" w:type="dxa"/>
            <w:tcBorders>
              <w:top w:val="double" w:sz="6" w:space="0" w:color="auto"/>
              <w:left w:val="nil"/>
              <w:bottom w:val="single" w:sz="4" w:space="0" w:color="auto"/>
              <w:right w:val="single" w:sz="4" w:space="0" w:color="auto"/>
            </w:tcBorders>
            <w:shd w:val="clear" w:color="000000" w:fill="BFBFBF"/>
            <w:noWrap/>
            <w:vAlign w:val="center"/>
            <w:hideMark/>
          </w:tcPr>
          <w:p w14:paraId="15137456" w14:textId="77777777" w:rsidR="006B6EEE" w:rsidRPr="00DE4F22" w:rsidRDefault="006B6EEE" w:rsidP="00D36322">
            <w:pPr>
              <w:jc w:val="center"/>
              <w:rPr>
                <w:b/>
                <w:bCs/>
                <w:sz w:val="20"/>
                <w:szCs w:val="20"/>
              </w:rPr>
            </w:pPr>
            <w:r w:rsidRPr="00DE4F22">
              <w:rPr>
                <w:b/>
                <w:bCs/>
                <w:sz w:val="20"/>
                <w:szCs w:val="20"/>
              </w:rPr>
              <w:t>Naziv projekta (Životna sredina)</w:t>
            </w:r>
          </w:p>
        </w:tc>
        <w:tc>
          <w:tcPr>
            <w:tcW w:w="1461" w:type="dxa"/>
            <w:tcBorders>
              <w:top w:val="double" w:sz="6" w:space="0" w:color="auto"/>
              <w:left w:val="nil"/>
              <w:bottom w:val="single" w:sz="4" w:space="0" w:color="auto"/>
              <w:right w:val="double" w:sz="6" w:space="0" w:color="auto"/>
            </w:tcBorders>
            <w:shd w:val="clear" w:color="000000" w:fill="BFBFBF"/>
            <w:noWrap/>
            <w:vAlign w:val="center"/>
            <w:hideMark/>
          </w:tcPr>
          <w:p w14:paraId="2662CA15" w14:textId="77777777" w:rsidR="006B6EEE" w:rsidRPr="00DE4F22" w:rsidRDefault="006B6EEE" w:rsidP="00D36322">
            <w:pPr>
              <w:jc w:val="center"/>
              <w:rPr>
                <w:b/>
                <w:bCs/>
                <w:sz w:val="20"/>
                <w:szCs w:val="20"/>
              </w:rPr>
            </w:pPr>
            <w:r w:rsidRPr="00DE4F22">
              <w:rPr>
                <w:b/>
                <w:bCs/>
                <w:sz w:val="20"/>
                <w:szCs w:val="20"/>
              </w:rPr>
              <w:t>Budžet projekta</w:t>
            </w:r>
          </w:p>
        </w:tc>
      </w:tr>
      <w:tr w:rsidR="006B6EEE" w:rsidRPr="00DE4F22" w14:paraId="02D5852C" w14:textId="77777777" w:rsidTr="00491071">
        <w:trPr>
          <w:trHeight w:val="338"/>
        </w:trPr>
        <w:tc>
          <w:tcPr>
            <w:tcW w:w="1116" w:type="dxa"/>
            <w:tcBorders>
              <w:top w:val="nil"/>
              <w:left w:val="double" w:sz="6" w:space="0" w:color="auto"/>
              <w:bottom w:val="single" w:sz="4" w:space="0" w:color="auto"/>
              <w:right w:val="single" w:sz="4" w:space="0" w:color="auto"/>
            </w:tcBorders>
            <w:noWrap/>
            <w:vAlign w:val="center"/>
            <w:hideMark/>
          </w:tcPr>
          <w:p w14:paraId="12DDCAEE" w14:textId="77777777" w:rsidR="006B6EEE" w:rsidRPr="00DE4F22" w:rsidRDefault="006B6EEE" w:rsidP="00D36322">
            <w:pPr>
              <w:jc w:val="center"/>
              <w:rPr>
                <w:b/>
                <w:bCs/>
                <w:i/>
                <w:iCs/>
                <w:color w:val="000000"/>
                <w:sz w:val="20"/>
                <w:szCs w:val="20"/>
              </w:rPr>
            </w:pPr>
            <w:r w:rsidRPr="00DE4F22">
              <w:rPr>
                <w:b/>
                <w:bCs/>
                <w:i/>
                <w:iCs/>
                <w:color w:val="000000"/>
                <w:sz w:val="20"/>
                <w:szCs w:val="20"/>
              </w:rPr>
              <w:t>3.1.1</w:t>
            </w:r>
          </w:p>
        </w:tc>
        <w:tc>
          <w:tcPr>
            <w:tcW w:w="11335" w:type="dxa"/>
            <w:tcBorders>
              <w:top w:val="nil"/>
              <w:left w:val="nil"/>
              <w:bottom w:val="single" w:sz="4" w:space="0" w:color="auto"/>
              <w:right w:val="single" w:sz="4" w:space="0" w:color="auto"/>
            </w:tcBorders>
            <w:noWrap/>
            <w:vAlign w:val="center"/>
          </w:tcPr>
          <w:p w14:paraId="61BEDAC2" w14:textId="5124D22B" w:rsidR="006B6EEE" w:rsidRPr="00DE4F22" w:rsidRDefault="00461E84" w:rsidP="00D36322">
            <w:pPr>
              <w:jc w:val="both"/>
              <w:rPr>
                <w:b/>
                <w:bCs/>
                <w:i/>
                <w:iCs/>
                <w:color w:val="000000"/>
                <w:sz w:val="20"/>
                <w:szCs w:val="20"/>
              </w:rPr>
            </w:pPr>
            <w:r w:rsidRPr="00461E84">
              <w:rPr>
                <w:b/>
                <w:bCs/>
                <w:i/>
                <w:iCs/>
                <w:color w:val="000000"/>
                <w:sz w:val="20"/>
                <w:szCs w:val="20"/>
                <w:lang w:val="bs-Latn-BA"/>
              </w:rPr>
              <w:t>Javni konkurs za dodjelu bespovratnih sredstava (subvencija) jedinicama lokalnih samouprava za realizaciju projekta uklanjanja otpada odbačenog u životnu sredinu (tzv. „divlje deponije”)</w:t>
            </w:r>
          </w:p>
        </w:tc>
        <w:tc>
          <w:tcPr>
            <w:tcW w:w="1461" w:type="dxa"/>
            <w:tcBorders>
              <w:top w:val="nil"/>
              <w:left w:val="nil"/>
              <w:bottom w:val="single" w:sz="4" w:space="0" w:color="auto"/>
              <w:right w:val="double" w:sz="6" w:space="0" w:color="auto"/>
            </w:tcBorders>
            <w:noWrap/>
            <w:vAlign w:val="bottom"/>
            <w:hideMark/>
          </w:tcPr>
          <w:p w14:paraId="71DB3D8F" w14:textId="108D2A9F" w:rsidR="006B6EEE" w:rsidRPr="00DE4F22" w:rsidRDefault="006B6EEE" w:rsidP="00D36322">
            <w:pPr>
              <w:rPr>
                <w:color w:val="000000"/>
                <w:sz w:val="20"/>
                <w:szCs w:val="20"/>
              </w:rPr>
            </w:pPr>
            <w:r w:rsidRPr="00DE4F22">
              <w:rPr>
                <w:color w:val="000000"/>
                <w:sz w:val="20"/>
                <w:szCs w:val="20"/>
              </w:rPr>
              <w:t xml:space="preserve">                 </w:t>
            </w:r>
            <w:r w:rsidR="008B3364" w:rsidRPr="00DE4F22">
              <w:rPr>
                <w:color w:val="000000"/>
                <w:sz w:val="20"/>
                <w:szCs w:val="20"/>
              </w:rPr>
              <w:t>400</w:t>
            </w:r>
            <w:r w:rsidR="00F26556" w:rsidRPr="00DE4F22">
              <w:rPr>
                <w:color w:val="000000"/>
                <w:sz w:val="20"/>
                <w:szCs w:val="20"/>
              </w:rPr>
              <w:t>.</w:t>
            </w:r>
            <w:r w:rsidRPr="00DE4F22">
              <w:rPr>
                <w:color w:val="000000"/>
                <w:sz w:val="20"/>
                <w:szCs w:val="20"/>
              </w:rPr>
              <w:t>000</w:t>
            </w:r>
            <w:r w:rsidR="00F26556" w:rsidRPr="00DE4F22">
              <w:rPr>
                <w:color w:val="000000"/>
                <w:sz w:val="20"/>
                <w:szCs w:val="20"/>
              </w:rPr>
              <w:t>,</w:t>
            </w:r>
            <w:r w:rsidRPr="00DE4F22">
              <w:rPr>
                <w:color w:val="000000"/>
                <w:sz w:val="20"/>
                <w:szCs w:val="20"/>
              </w:rPr>
              <w:t xml:space="preserve">00 </w:t>
            </w:r>
          </w:p>
        </w:tc>
      </w:tr>
      <w:tr w:rsidR="006B6EEE" w:rsidRPr="00DE4F22" w14:paraId="50DA467A" w14:textId="77777777" w:rsidTr="00491071">
        <w:trPr>
          <w:trHeight w:val="288"/>
        </w:trPr>
        <w:tc>
          <w:tcPr>
            <w:tcW w:w="1116" w:type="dxa"/>
            <w:tcBorders>
              <w:top w:val="nil"/>
              <w:left w:val="double" w:sz="6" w:space="0" w:color="auto"/>
              <w:bottom w:val="single" w:sz="4" w:space="0" w:color="auto"/>
              <w:right w:val="single" w:sz="4" w:space="0" w:color="auto"/>
            </w:tcBorders>
            <w:noWrap/>
            <w:vAlign w:val="center"/>
            <w:hideMark/>
          </w:tcPr>
          <w:p w14:paraId="5462A3F4" w14:textId="77777777" w:rsidR="006B6EEE" w:rsidRPr="00DE4F22" w:rsidRDefault="006B6EEE" w:rsidP="00D36322">
            <w:pPr>
              <w:jc w:val="center"/>
              <w:rPr>
                <w:b/>
                <w:bCs/>
                <w:i/>
                <w:iCs/>
                <w:color w:val="000000"/>
                <w:sz w:val="20"/>
                <w:szCs w:val="20"/>
              </w:rPr>
            </w:pPr>
            <w:r w:rsidRPr="00DE4F22">
              <w:rPr>
                <w:b/>
                <w:bCs/>
                <w:i/>
                <w:iCs/>
                <w:color w:val="000000"/>
                <w:sz w:val="20"/>
                <w:szCs w:val="20"/>
              </w:rPr>
              <w:t>3.1.2</w:t>
            </w:r>
          </w:p>
        </w:tc>
        <w:tc>
          <w:tcPr>
            <w:tcW w:w="11335" w:type="dxa"/>
            <w:tcBorders>
              <w:top w:val="nil"/>
              <w:left w:val="nil"/>
              <w:bottom w:val="single" w:sz="4" w:space="0" w:color="auto"/>
              <w:right w:val="single" w:sz="4" w:space="0" w:color="auto"/>
            </w:tcBorders>
            <w:noWrap/>
            <w:vAlign w:val="bottom"/>
          </w:tcPr>
          <w:p w14:paraId="67389F9B" w14:textId="01E57D2A" w:rsidR="006B6EEE" w:rsidRPr="00CD7448" w:rsidRDefault="00CD7448" w:rsidP="00D36322">
            <w:pPr>
              <w:rPr>
                <w:b/>
                <w:bCs/>
                <w:i/>
                <w:iCs/>
                <w:color w:val="000000"/>
                <w:sz w:val="20"/>
                <w:szCs w:val="20"/>
                <w:lang w:val="bs-Latn-BA"/>
              </w:rPr>
            </w:pPr>
            <w:r w:rsidRPr="00CD7448">
              <w:rPr>
                <w:b/>
                <w:bCs/>
                <w:i/>
                <w:iCs/>
                <w:color w:val="000000"/>
                <w:sz w:val="20"/>
                <w:szCs w:val="20"/>
                <w:lang w:val="bs-Latn-BA"/>
              </w:rPr>
              <w:t>Javni konkurs za dodjelu bespovratnih sredstava (subvencija) jedinicama lokalne samouprave za projektovanje, uređenje i održavanje zelenih površina</w:t>
            </w:r>
          </w:p>
        </w:tc>
        <w:tc>
          <w:tcPr>
            <w:tcW w:w="1461" w:type="dxa"/>
            <w:tcBorders>
              <w:top w:val="nil"/>
              <w:left w:val="nil"/>
              <w:bottom w:val="single" w:sz="4" w:space="0" w:color="auto"/>
              <w:right w:val="double" w:sz="6" w:space="0" w:color="auto"/>
            </w:tcBorders>
            <w:noWrap/>
            <w:vAlign w:val="bottom"/>
            <w:hideMark/>
          </w:tcPr>
          <w:p w14:paraId="024FF798" w14:textId="7FA82645" w:rsidR="006B6EEE" w:rsidRPr="00DE4F22" w:rsidRDefault="00491071" w:rsidP="00D36322">
            <w:pPr>
              <w:rPr>
                <w:color w:val="000000"/>
                <w:sz w:val="20"/>
                <w:szCs w:val="20"/>
              </w:rPr>
            </w:pPr>
            <w:r>
              <w:rPr>
                <w:color w:val="000000"/>
                <w:sz w:val="20"/>
                <w:szCs w:val="20"/>
              </w:rPr>
              <w:t>300.000,00</w:t>
            </w:r>
          </w:p>
        </w:tc>
      </w:tr>
      <w:tr w:rsidR="006B6EEE" w:rsidRPr="00DE4F22" w14:paraId="3882322F" w14:textId="77777777" w:rsidTr="00491071">
        <w:trPr>
          <w:trHeight w:val="251"/>
        </w:trPr>
        <w:tc>
          <w:tcPr>
            <w:tcW w:w="1116" w:type="dxa"/>
            <w:tcBorders>
              <w:top w:val="nil"/>
              <w:left w:val="double" w:sz="6" w:space="0" w:color="auto"/>
              <w:bottom w:val="single" w:sz="4" w:space="0" w:color="auto"/>
              <w:right w:val="single" w:sz="4" w:space="0" w:color="auto"/>
            </w:tcBorders>
            <w:noWrap/>
            <w:vAlign w:val="center"/>
            <w:hideMark/>
          </w:tcPr>
          <w:p w14:paraId="60CEA25E" w14:textId="77777777" w:rsidR="006B6EEE" w:rsidRPr="00DE4F22" w:rsidRDefault="006B6EEE" w:rsidP="00D36322">
            <w:pPr>
              <w:jc w:val="center"/>
              <w:rPr>
                <w:b/>
                <w:bCs/>
                <w:i/>
                <w:iCs/>
                <w:color w:val="000000"/>
                <w:sz w:val="20"/>
                <w:szCs w:val="20"/>
              </w:rPr>
            </w:pPr>
            <w:r w:rsidRPr="00DE4F22">
              <w:rPr>
                <w:b/>
                <w:bCs/>
                <w:i/>
                <w:iCs/>
                <w:color w:val="000000"/>
                <w:sz w:val="20"/>
                <w:szCs w:val="20"/>
              </w:rPr>
              <w:t>3.1.3</w:t>
            </w:r>
          </w:p>
        </w:tc>
        <w:tc>
          <w:tcPr>
            <w:tcW w:w="11335" w:type="dxa"/>
            <w:tcBorders>
              <w:top w:val="nil"/>
              <w:left w:val="nil"/>
              <w:bottom w:val="single" w:sz="4" w:space="0" w:color="auto"/>
              <w:right w:val="single" w:sz="4" w:space="0" w:color="auto"/>
            </w:tcBorders>
            <w:noWrap/>
            <w:vAlign w:val="center"/>
          </w:tcPr>
          <w:p w14:paraId="7237DE24" w14:textId="0A5C729E" w:rsidR="006B6EEE" w:rsidRPr="00DE4F22" w:rsidRDefault="003C14C7" w:rsidP="00D36322">
            <w:pPr>
              <w:jc w:val="both"/>
              <w:rPr>
                <w:b/>
                <w:bCs/>
                <w:i/>
                <w:iCs/>
                <w:color w:val="000000"/>
                <w:sz w:val="20"/>
                <w:szCs w:val="20"/>
              </w:rPr>
            </w:pPr>
            <w:r w:rsidRPr="003C14C7">
              <w:rPr>
                <w:b/>
                <w:bCs/>
                <w:i/>
                <w:iCs/>
                <w:color w:val="000000"/>
                <w:sz w:val="20"/>
                <w:szCs w:val="20"/>
                <w:lang w:val="bs-Latn-BA"/>
              </w:rPr>
              <w:t>Javni konkursi za dodjelu bespovratnih sredstava (subvencija) za realizaciju projekta nabavke komunalne opreme i uređaja za upravljanje otpadom</w:t>
            </w:r>
          </w:p>
        </w:tc>
        <w:tc>
          <w:tcPr>
            <w:tcW w:w="1461" w:type="dxa"/>
            <w:tcBorders>
              <w:top w:val="nil"/>
              <w:left w:val="nil"/>
              <w:bottom w:val="single" w:sz="4" w:space="0" w:color="auto"/>
              <w:right w:val="double" w:sz="6" w:space="0" w:color="auto"/>
            </w:tcBorders>
            <w:noWrap/>
            <w:vAlign w:val="bottom"/>
            <w:hideMark/>
          </w:tcPr>
          <w:p w14:paraId="6451FDCB" w14:textId="6D7591A6" w:rsidR="006B6EEE" w:rsidRPr="00DE4F22" w:rsidRDefault="006B6EEE" w:rsidP="00D36322">
            <w:pPr>
              <w:rPr>
                <w:color w:val="000000"/>
                <w:sz w:val="20"/>
                <w:szCs w:val="20"/>
              </w:rPr>
            </w:pPr>
            <w:r w:rsidRPr="00DE4F22">
              <w:rPr>
                <w:color w:val="000000"/>
                <w:sz w:val="20"/>
                <w:szCs w:val="20"/>
              </w:rPr>
              <w:t xml:space="preserve">             </w:t>
            </w:r>
            <w:r w:rsidR="00491071">
              <w:rPr>
                <w:color w:val="000000"/>
                <w:sz w:val="20"/>
                <w:szCs w:val="20"/>
              </w:rPr>
              <w:t>1.0</w:t>
            </w:r>
            <w:r w:rsidR="008B3364" w:rsidRPr="00DE4F22">
              <w:rPr>
                <w:color w:val="000000"/>
                <w:sz w:val="20"/>
                <w:szCs w:val="20"/>
              </w:rPr>
              <w:t>00.000,0</w:t>
            </w:r>
            <w:r w:rsidR="00491071">
              <w:rPr>
                <w:color w:val="000000"/>
                <w:sz w:val="20"/>
                <w:szCs w:val="20"/>
              </w:rPr>
              <w:t>0</w:t>
            </w:r>
            <w:r w:rsidRPr="00DE4F22">
              <w:rPr>
                <w:color w:val="000000"/>
                <w:sz w:val="20"/>
                <w:szCs w:val="20"/>
              </w:rPr>
              <w:t xml:space="preserve"> </w:t>
            </w:r>
          </w:p>
        </w:tc>
      </w:tr>
      <w:tr w:rsidR="006B6EEE" w:rsidRPr="00DE4F22" w14:paraId="0F45F2BF" w14:textId="77777777" w:rsidTr="00491071">
        <w:trPr>
          <w:trHeight w:val="310"/>
        </w:trPr>
        <w:tc>
          <w:tcPr>
            <w:tcW w:w="1116" w:type="dxa"/>
            <w:tcBorders>
              <w:top w:val="nil"/>
              <w:left w:val="double" w:sz="6" w:space="0" w:color="auto"/>
              <w:bottom w:val="single" w:sz="4" w:space="0" w:color="auto"/>
              <w:right w:val="single" w:sz="4" w:space="0" w:color="auto"/>
            </w:tcBorders>
            <w:noWrap/>
            <w:vAlign w:val="center"/>
            <w:hideMark/>
          </w:tcPr>
          <w:p w14:paraId="75CBFBF4" w14:textId="77777777" w:rsidR="006B6EEE" w:rsidRPr="00DE4F22" w:rsidRDefault="006B6EEE" w:rsidP="00D36322">
            <w:pPr>
              <w:jc w:val="center"/>
              <w:rPr>
                <w:b/>
                <w:bCs/>
                <w:i/>
                <w:iCs/>
                <w:color w:val="000000"/>
                <w:sz w:val="20"/>
                <w:szCs w:val="20"/>
              </w:rPr>
            </w:pPr>
            <w:r w:rsidRPr="00DE4F22">
              <w:rPr>
                <w:b/>
                <w:bCs/>
                <w:i/>
                <w:iCs/>
                <w:color w:val="000000"/>
                <w:sz w:val="20"/>
                <w:szCs w:val="20"/>
              </w:rPr>
              <w:t>3.1.4</w:t>
            </w:r>
          </w:p>
        </w:tc>
        <w:tc>
          <w:tcPr>
            <w:tcW w:w="11335" w:type="dxa"/>
            <w:tcBorders>
              <w:top w:val="nil"/>
              <w:left w:val="nil"/>
              <w:bottom w:val="single" w:sz="4" w:space="0" w:color="auto"/>
              <w:right w:val="single" w:sz="4" w:space="0" w:color="auto"/>
            </w:tcBorders>
            <w:noWrap/>
            <w:vAlign w:val="center"/>
          </w:tcPr>
          <w:p w14:paraId="2D8DB967" w14:textId="28828E5B" w:rsidR="006B6EEE" w:rsidRPr="00DE4F22" w:rsidRDefault="00491071" w:rsidP="00D36322">
            <w:pPr>
              <w:jc w:val="both"/>
              <w:rPr>
                <w:b/>
                <w:bCs/>
                <w:i/>
                <w:iCs/>
                <w:color w:val="000000"/>
                <w:sz w:val="20"/>
                <w:szCs w:val="20"/>
              </w:rPr>
            </w:pPr>
            <w:r w:rsidRPr="00491071">
              <w:rPr>
                <w:b/>
                <w:bCs/>
                <w:i/>
                <w:iCs/>
                <w:color w:val="000000"/>
                <w:sz w:val="20"/>
                <w:szCs w:val="20"/>
              </w:rPr>
              <w:t>Unaprjeđenje katastra zagađivača životne sredine(II FAZA) i integracija u Informacioni sistem zaštite životne sredine i razvoj djelatnosti Eko-fonda</w:t>
            </w:r>
          </w:p>
        </w:tc>
        <w:tc>
          <w:tcPr>
            <w:tcW w:w="1461" w:type="dxa"/>
            <w:tcBorders>
              <w:top w:val="nil"/>
              <w:left w:val="nil"/>
              <w:bottom w:val="single" w:sz="4" w:space="0" w:color="auto"/>
              <w:right w:val="double" w:sz="6" w:space="0" w:color="auto"/>
            </w:tcBorders>
            <w:noWrap/>
            <w:vAlign w:val="bottom"/>
            <w:hideMark/>
          </w:tcPr>
          <w:p w14:paraId="310E5E57" w14:textId="304C841E" w:rsidR="006B6EEE" w:rsidRPr="00DE4F22" w:rsidRDefault="006B6EEE" w:rsidP="00D36322">
            <w:pPr>
              <w:rPr>
                <w:color w:val="000000"/>
                <w:sz w:val="20"/>
                <w:szCs w:val="20"/>
              </w:rPr>
            </w:pPr>
            <w:r w:rsidRPr="00DE4F22">
              <w:rPr>
                <w:color w:val="000000"/>
                <w:sz w:val="20"/>
                <w:szCs w:val="20"/>
              </w:rPr>
              <w:t xml:space="preserve">               </w:t>
            </w:r>
            <w:r w:rsidR="00491071">
              <w:rPr>
                <w:color w:val="000000"/>
                <w:sz w:val="20"/>
                <w:szCs w:val="20"/>
              </w:rPr>
              <w:t>1.245</w:t>
            </w:r>
            <w:r w:rsidR="00491071" w:rsidRPr="00DE4F22">
              <w:rPr>
                <w:color w:val="000000"/>
                <w:sz w:val="20"/>
                <w:szCs w:val="20"/>
              </w:rPr>
              <w:t>.000,0</w:t>
            </w:r>
            <w:r w:rsidR="00491071">
              <w:rPr>
                <w:color w:val="000000"/>
                <w:sz w:val="20"/>
                <w:szCs w:val="20"/>
              </w:rPr>
              <w:t>0</w:t>
            </w:r>
          </w:p>
        </w:tc>
      </w:tr>
      <w:tr w:rsidR="006B6EEE" w:rsidRPr="00DE4F22" w14:paraId="052FF9F7" w14:textId="77777777" w:rsidTr="00491071">
        <w:trPr>
          <w:trHeight w:val="435"/>
        </w:trPr>
        <w:tc>
          <w:tcPr>
            <w:tcW w:w="1116" w:type="dxa"/>
            <w:tcBorders>
              <w:top w:val="nil"/>
              <w:left w:val="double" w:sz="6" w:space="0" w:color="auto"/>
              <w:bottom w:val="single" w:sz="4" w:space="0" w:color="auto"/>
              <w:right w:val="single" w:sz="4" w:space="0" w:color="auto"/>
            </w:tcBorders>
            <w:noWrap/>
            <w:vAlign w:val="center"/>
            <w:hideMark/>
          </w:tcPr>
          <w:p w14:paraId="097E3346" w14:textId="77777777" w:rsidR="006B6EEE" w:rsidRPr="00DE4F22" w:rsidRDefault="006B6EEE" w:rsidP="00D36322">
            <w:pPr>
              <w:jc w:val="center"/>
              <w:rPr>
                <w:b/>
                <w:bCs/>
                <w:i/>
                <w:iCs/>
                <w:color w:val="000000"/>
                <w:sz w:val="20"/>
                <w:szCs w:val="20"/>
              </w:rPr>
            </w:pPr>
            <w:r w:rsidRPr="00DE4F22">
              <w:rPr>
                <w:b/>
                <w:bCs/>
                <w:i/>
                <w:iCs/>
                <w:color w:val="000000"/>
                <w:sz w:val="20"/>
                <w:szCs w:val="20"/>
              </w:rPr>
              <w:t>3.1.5</w:t>
            </w:r>
          </w:p>
        </w:tc>
        <w:tc>
          <w:tcPr>
            <w:tcW w:w="11335" w:type="dxa"/>
            <w:tcBorders>
              <w:top w:val="nil"/>
              <w:left w:val="nil"/>
              <w:bottom w:val="single" w:sz="4" w:space="0" w:color="auto"/>
              <w:right w:val="single" w:sz="4" w:space="0" w:color="auto"/>
            </w:tcBorders>
            <w:noWrap/>
            <w:vAlign w:val="center"/>
          </w:tcPr>
          <w:p w14:paraId="4981CC83" w14:textId="2DF16564" w:rsidR="006B6EEE" w:rsidRPr="00DE4F22" w:rsidRDefault="00491071" w:rsidP="00D36322">
            <w:pPr>
              <w:jc w:val="both"/>
              <w:rPr>
                <w:b/>
                <w:bCs/>
                <w:i/>
                <w:iCs/>
                <w:color w:val="000000"/>
                <w:sz w:val="20"/>
                <w:szCs w:val="20"/>
              </w:rPr>
            </w:pPr>
            <w:r w:rsidRPr="00491071">
              <w:rPr>
                <w:b/>
                <w:bCs/>
                <w:i/>
                <w:iCs/>
                <w:color w:val="000000"/>
                <w:sz w:val="20"/>
                <w:szCs w:val="20"/>
              </w:rPr>
              <w:t xml:space="preserve"> </w:t>
            </w:r>
            <w:r w:rsidR="00E530D5" w:rsidRPr="00E530D5">
              <w:rPr>
                <w:b/>
                <w:bCs/>
                <w:i/>
                <w:iCs/>
                <w:color w:val="000000"/>
                <w:sz w:val="20"/>
                <w:szCs w:val="20"/>
                <w:lang w:val="bs-Latn-BA"/>
              </w:rPr>
              <w:t>Prikupljanje vozila van upotrebe sa teritorije Crne Gore</w:t>
            </w:r>
          </w:p>
        </w:tc>
        <w:tc>
          <w:tcPr>
            <w:tcW w:w="1461" w:type="dxa"/>
            <w:tcBorders>
              <w:top w:val="nil"/>
              <w:left w:val="nil"/>
              <w:bottom w:val="single" w:sz="4" w:space="0" w:color="auto"/>
              <w:right w:val="double" w:sz="6" w:space="0" w:color="auto"/>
            </w:tcBorders>
            <w:noWrap/>
            <w:vAlign w:val="bottom"/>
            <w:hideMark/>
          </w:tcPr>
          <w:p w14:paraId="138F8D64" w14:textId="7766CC94" w:rsidR="006B6EEE" w:rsidRPr="00DE4F22" w:rsidRDefault="006B6EEE" w:rsidP="00D36322">
            <w:pPr>
              <w:rPr>
                <w:color w:val="000000"/>
                <w:sz w:val="20"/>
                <w:szCs w:val="20"/>
              </w:rPr>
            </w:pPr>
            <w:r w:rsidRPr="00DE4F22">
              <w:rPr>
                <w:color w:val="000000"/>
                <w:sz w:val="20"/>
                <w:szCs w:val="20"/>
              </w:rPr>
              <w:t xml:space="preserve">             </w:t>
            </w:r>
            <w:r w:rsidR="00491071">
              <w:rPr>
                <w:color w:val="000000"/>
                <w:sz w:val="20"/>
                <w:szCs w:val="20"/>
              </w:rPr>
              <w:t>10</w:t>
            </w:r>
            <w:r w:rsidRPr="00DE4F22">
              <w:rPr>
                <w:color w:val="000000"/>
                <w:sz w:val="20"/>
                <w:szCs w:val="20"/>
              </w:rPr>
              <w:t>0</w:t>
            </w:r>
            <w:r w:rsidR="008B3364" w:rsidRPr="00DE4F22">
              <w:rPr>
                <w:color w:val="000000"/>
                <w:sz w:val="20"/>
                <w:szCs w:val="20"/>
              </w:rPr>
              <w:t>.</w:t>
            </w:r>
            <w:r w:rsidRPr="00DE4F22">
              <w:rPr>
                <w:color w:val="000000"/>
                <w:sz w:val="20"/>
                <w:szCs w:val="20"/>
              </w:rPr>
              <w:t>000</w:t>
            </w:r>
            <w:r w:rsidR="008B3364" w:rsidRPr="00DE4F22">
              <w:rPr>
                <w:color w:val="000000"/>
                <w:sz w:val="20"/>
                <w:szCs w:val="20"/>
              </w:rPr>
              <w:t>,</w:t>
            </w:r>
            <w:r w:rsidRPr="00DE4F22">
              <w:rPr>
                <w:color w:val="000000"/>
                <w:sz w:val="20"/>
                <w:szCs w:val="20"/>
              </w:rPr>
              <w:t xml:space="preserve">00 </w:t>
            </w:r>
          </w:p>
        </w:tc>
      </w:tr>
      <w:tr w:rsidR="006B6EEE" w:rsidRPr="00DE4F22" w14:paraId="61BCE860" w14:textId="77777777" w:rsidTr="00491071">
        <w:trPr>
          <w:trHeight w:val="399"/>
        </w:trPr>
        <w:tc>
          <w:tcPr>
            <w:tcW w:w="1116" w:type="dxa"/>
            <w:tcBorders>
              <w:top w:val="nil"/>
              <w:left w:val="double" w:sz="6" w:space="0" w:color="auto"/>
              <w:bottom w:val="single" w:sz="4" w:space="0" w:color="auto"/>
              <w:right w:val="single" w:sz="4" w:space="0" w:color="auto"/>
            </w:tcBorders>
            <w:noWrap/>
            <w:vAlign w:val="center"/>
            <w:hideMark/>
          </w:tcPr>
          <w:p w14:paraId="1C953AE5" w14:textId="77777777" w:rsidR="006B6EEE" w:rsidRPr="00DE4F22" w:rsidRDefault="006B6EEE" w:rsidP="00D36322">
            <w:pPr>
              <w:jc w:val="center"/>
              <w:rPr>
                <w:b/>
                <w:bCs/>
                <w:i/>
                <w:iCs/>
                <w:color w:val="000000"/>
                <w:sz w:val="20"/>
                <w:szCs w:val="20"/>
              </w:rPr>
            </w:pPr>
            <w:r w:rsidRPr="00DE4F22">
              <w:rPr>
                <w:b/>
                <w:bCs/>
                <w:i/>
                <w:iCs/>
                <w:color w:val="000000"/>
                <w:sz w:val="20"/>
                <w:szCs w:val="20"/>
              </w:rPr>
              <w:t>3.1.6</w:t>
            </w:r>
          </w:p>
        </w:tc>
        <w:tc>
          <w:tcPr>
            <w:tcW w:w="11335" w:type="dxa"/>
            <w:tcBorders>
              <w:top w:val="nil"/>
              <w:left w:val="nil"/>
              <w:bottom w:val="single" w:sz="4" w:space="0" w:color="auto"/>
              <w:right w:val="single" w:sz="4" w:space="0" w:color="auto"/>
            </w:tcBorders>
            <w:vAlign w:val="center"/>
          </w:tcPr>
          <w:p w14:paraId="24012594" w14:textId="22100858" w:rsidR="006B6EEE" w:rsidRPr="00DE4F22" w:rsidRDefault="00491071" w:rsidP="00D36322">
            <w:pPr>
              <w:jc w:val="both"/>
              <w:rPr>
                <w:b/>
                <w:bCs/>
                <w:i/>
                <w:iCs/>
                <w:color w:val="000000"/>
                <w:sz w:val="20"/>
                <w:szCs w:val="20"/>
              </w:rPr>
            </w:pPr>
            <w:r w:rsidRPr="00491071">
              <w:rPr>
                <w:b/>
                <w:bCs/>
                <w:i/>
                <w:iCs/>
                <w:color w:val="000000"/>
                <w:sz w:val="20"/>
                <w:szCs w:val="20"/>
              </w:rPr>
              <w:t>Projekat sakupljanja elektricnog/elektronskog otpada iz domacinstva</w:t>
            </w:r>
          </w:p>
        </w:tc>
        <w:tc>
          <w:tcPr>
            <w:tcW w:w="1461" w:type="dxa"/>
            <w:tcBorders>
              <w:top w:val="nil"/>
              <w:left w:val="nil"/>
              <w:bottom w:val="single" w:sz="4" w:space="0" w:color="auto"/>
              <w:right w:val="double" w:sz="6" w:space="0" w:color="auto"/>
            </w:tcBorders>
            <w:noWrap/>
            <w:vAlign w:val="bottom"/>
            <w:hideMark/>
          </w:tcPr>
          <w:p w14:paraId="5B0B760E" w14:textId="3F43D599" w:rsidR="006B6EEE" w:rsidRPr="00DE4F22" w:rsidRDefault="006B6EEE" w:rsidP="00D36322">
            <w:pPr>
              <w:rPr>
                <w:color w:val="000000"/>
                <w:sz w:val="20"/>
                <w:szCs w:val="20"/>
              </w:rPr>
            </w:pPr>
            <w:r w:rsidRPr="00DE4F22">
              <w:rPr>
                <w:color w:val="000000"/>
                <w:sz w:val="20"/>
                <w:szCs w:val="20"/>
              </w:rPr>
              <w:t xml:space="preserve">             </w:t>
            </w:r>
            <w:r w:rsidR="00491071">
              <w:rPr>
                <w:color w:val="000000"/>
                <w:sz w:val="20"/>
                <w:szCs w:val="20"/>
              </w:rPr>
              <w:t>400</w:t>
            </w:r>
            <w:r w:rsidR="008B3364" w:rsidRPr="00DE4F22">
              <w:rPr>
                <w:color w:val="000000"/>
                <w:sz w:val="20"/>
                <w:szCs w:val="20"/>
              </w:rPr>
              <w:t>.</w:t>
            </w:r>
            <w:r w:rsidRPr="00DE4F22">
              <w:rPr>
                <w:color w:val="000000"/>
                <w:sz w:val="20"/>
                <w:szCs w:val="20"/>
              </w:rPr>
              <w:t>000</w:t>
            </w:r>
            <w:r w:rsidR="008B3364" w:rsidRPr="00DE4F22">
              <w:rPr>
                <w:color w:val="000000"/>
                <w:sz w:val="20"/>
                <w:szCs w:val="20"/>
              </w:rPr>
              <w:t>,</w:t>
            </w:r>
            <w:r w:rsidRPr="00DE4F22">
              <w:rPr>
                <w:color w:val="000000"/>
                <w:sz w:val="20"/>
                <w:szCs w:val="20"/>
              </w:rPr>
              <w:t xml:space="preserve">00 </w:t>
            </w:r>
          </w:p>
        </w:tc>
      </w:tr>
      <w:tr w:rsidR="006B6EEE" w:rsidRPr="00DE4F22" w14:paraId="4A518DAE" w14:textId="77777777" w:rsidTr="00491071">
        <w:trPr>
          <w:trHeight w:val="207"/>
        </w:trPr>
        <w:tc>
          <w:tcPr>
            <w:tcW w:w="1116" w:type="dxa"/>
            <w:tcBorders>
              <w:top w:val="nil"/>
              <w:left w:val="double" w:sz="6" w:space="0" w:color="auto"/>
              <w:bottom w:val="single" w:sz="4" w:space="0" w:color="auto"/>
              <w:right w:val="single" w:sz="4" w:space="0" w:color="auto"/>
            </w:tcBorders>
            <w:noWrap/>
            <w:vAlign w:val="center"/>
            <w:hideMark/>
          </w:tcPr>
          <w:p w14:paraId="272B9D4B" w14:textId="77777777" w:rsidR="006B6EEE" w:rsidRPr="00DE4F22" w:rsidRDefault="006B6EEE" w:rsidP="00D36322">
            <w:pPr>
              <w:jc w:val="center"/>
              <w:rPr>
                <w:b/>
                <w:bCs/>
                <w:i/>
                <w:iCs/>
                <w:color w:val="000000"/>
                <w:sz w:val="20"/>
                <w:szCs w:val="20"/>
              </w:rPr>
            </w:pPr>
            <w:r w:rsidRPr="00DE4F22">
              <w:rPr>
                <w:b/>
                <w:bCs/>
                <w:i/>
                <w:iCs/>
                <w:color w:val="000000"/>
                <w:sz w:val="20"/>
                <w:szCs w:val="20"/>
              </w:rPr>
              <w:t>3.1.7</w:t>
            </w:r>
          </w:p>
        </w:tc>
        <w:tc>
          <w:tcPr>
            <w:tcW w:w="11335" w:type="dxa"/>
            <w:tcBorders>
              <w:top w:val="nil"/>
              <w:left w:val="nil"/>
              <w:bottom w:val="single" w:sz="4" w:space="0" w:color="auto"/>
              <w:right w:val="single" w:sz="4" w:space="0" w:color="auto"/>
            </w:tcBorders>
            <w:noWrap/>
            <w:vAlign w:val="center"/>
          </w:tcPr>
          <w:p w14:paraId="4F3E07BC" w14:textId="51BB7DEE" w:rsidR="006B6EEE" w:rsidRPr="00DE4F22" w:rsidRDefault="00491071" w:rsidP="00D36322">
            <w:pPr>
              <w:jc w:val="both"/>
              <w:rPr>
                <w:b/>
                <w:bCs/>
                <w:i/>
                <w:iCs/>
                <w:color w:val="000000"/>
                <w:sz w:val="20"/>
                <w:szCs w:val="20"/>
              </w:rPr>
            </w:pPr>
            <w:r w:rsidRPr="00491071">
              <w:rPr>
                <w:b/>
                <w:bCs/>
                <w:i/>
                <w:iCs/>
                <w:color w:val="000000"/>
                <w:sz w:val="20"/>
                <w:szCs w:val="20"/>
              </w:rPr>
              <w:t xml:space="preserve">Unapredjenje infrastrukture vodosnabijevanja, ocuvanja vodoizvorista </w:t>
            </w:r>
            <w:r w:rsidR="00E530D5">
              <w:rPr>
                <w:b/>
                <w:bCs/>
                <w:i/>
                <w:iCs/>
                <w:color w:val="000000"/>
                <w:sz w:val="20"/>
                <w:szCs w:val="20"/>
              </w:rPr>
              <w:t>i</w:t>
            </w:r>
            <w:r w:rsidRPr="00491071">
              <w:rPr>
                <w:b/>
                <w:bCs/>
                <w:i/>
                <w:iCs/>
                <w:color w:val="000000"/>
                <w:sz w:val="20"/>
                <w:szCs w:val="20"/>
              </w:rPr>
              <w:t xml:space="preserve"> zastite zivotne sredine u LS</w:t>
            </w:r>
          </w:p>
        </w:tc>
        <w:tc>
          <w:tcPr>
            <w:tcW w:w="1461" w:type="dxa"/>
            <w:tcBorders>
              <w:top w:val="nil"/>
              <w:left w:val="nil"/>
              <w:bottom w:val="single" w:sz="4" w:space="0" w:color="auto"/>
              <w:right w:val="double" w:sz="6" w:space="0" w:color="auto"/>
            </w:tcBorders>
            <w:noWrap/>
            <w:vAlign w:val="bottom"/>
            <w:hideMark/>
          </w:tcPr>
          <w:p w14:paraId="19BB87B3" w14:textId="195A2F9B" w:rsidR="006B6EEE" w:rsidRPr="00DE4F22" w:rsidRDefault="006B6EEE" w:rsidP="00D36322">
            <w:pPr>
              <w:rPr>
                <w:color w:val="000000"/>
                <w:sz w:val="20"/>
                <w:szCs w:val="20"/>
              </w:rPr>
            </w:pPr>
            <w:r w:rsidRPr="00DE4F22">
              <w:rPr>
                <w:color w:val="000000"/>
                <w:sz w:val="20"/>
                <w:szCs w:val="20"/>
              </w:rPr>
              <w:t xml:space="preserve">               </w:t>
            </w:r>
            <w:r w:rsidR="00491071">
              <w:rPr>
                <w:color w:val="000000"/>
                <w:sz w:val="20"/>
                <w:szCs w:val="20"/>
              </w:rPr>
              <w:t>68</w:t>
            </w:r>
            <w:r w:rsidR="008B3364" w:rsidRPr="00DE4F22">
              <w:rPr>
                <w:color w:val="000000"/>
                <w:sz w:val="20"/>
                <w:szCs w:val="20"/>
              </w:rPr>
              <w:t>0.</w:t>
            </w:r>
            <w:r w:rsidRPr="00DE4F22">
              <w:rPr>
                <w:color w:val="000000"/>
                <w:sz w:val="20"/>
                <w:szCs w:val="20"/>
              </w:rPr>
              <w:t>000</w:t>
            </w:r>
            <w:r w:rsidR="008B3364" w:rsidRPr="00DE4F22">
              <w:rPr>
                <w:color w:val="000000"/>
                <w:sz w:val="20"/>
                <w:szCs w:val="20"/>
              </w:rPr>
              <w:t>,</w:t>
            </w:r>
            <w:r w:rsidRPr="00DE4F22">
              <w:rPr>
                <w:color w:val="000000"/>
                <w:sz w:val="20"/>
                <w:szCs w:val="20"/>
              </w:rPr>
              <w:t xml:space="preserve">00 </w:t>
            </w:r>
          </w:p>
        </w:tc>
      </w:tr>
      <w:tr w:rsidR="006B6EEE" w:rsidRPr="00DE4F22" w14:paraId="6C812129" w14:textId="77777777" w:rsidTr="00D36322">
        <w:trPr>
          <w:trHeight w:val="225"/>
        </w:trPr>
        <w:tc>
          <w:tcPr>
            <w:tcW w:w="12451" w:type="dxa"/>
            <w:gridSpan w:val="2"/>
            <w:tcBorders>
              <w:top w:val="single" w:sz="4" w:space="0" w:color="auto"/>
              <w:left w:val="double" w:sz="6" w:space="0" w:color="auto"/>
              <w:bottom w:val="single" w:sz="4" w:space="0" w:color="auto"/>
              <w:right w:val="single" w:sz="4" w:space="0" w:color="000000"/>
            </w:tcBorders>
            <w:shd w:val="clear" w:color="000000" w:fill="D9D9D9"/>
            <w:noWrap/>
            <w:vAlign w:val="bottom"/>
            <w:hideMark/>
          </w:tcPr>
          <w:p w14:paraId="4D3C26D0" w14:textId="5B63E656" w:rsidR="006B6EEE" w:rsidRPr="00DE4F22" w:rsidRDefault="00DE4F22" w:rsidP="00491071">
            <w:pPr>
              <w:rPr>
                <w:b/>
                <w:bCs/>
                <w:color w:val="000000"/>
                <w:sz w:val="20"/>
                <w:szCs w:val="20"/>
              </w:rPr>
            </w:pPr>
            <w:r>
              <w:rPr>
                <w:b/>
                <w:bCs/>
                <w:color w:val="000000"/>
                <w:sz w:val="20"/>
                <w:szCs w:val="20"/>
              </w:rPr>
              <w:t>Ukupno</w:t>
            </w:r>
            <w:r w:rsidR="006B6EEE" w:rsidRPr="00DE4F22">
              <w:rPr>
                <w:b/>
                <w:bCs/>
                <w:color w:val="000000"/>
                <w:sz w:val="20"/>
                <w:szCs w:val="20"/>
              </w:rPr>
              <w:t xml:space="preserve"> ZŽS</w:t>
            </w:r>
          </w:p>
        </w:tc>
        <w:tc>
          <w:tcPr>
            <w:tcW w:w="1461" w:type="dxa"/>
            <w:tcBorders>
              <w:top w:val="nil"/>
              <w:left w:val="nil"/>
              <w:bottom w:val="single" w:sz="4" w:space="0" w:color="auto"/>
              <w:right w:val="double" w:sz="6" w:space="0" w:color="auto"/>
            </w:tcBorders>
            <w:shd w:val="clear" w:color="000000" w:fill="D9D9D9"/>
            <w:noWrap/>
            <w:vAlign w:val="bottom"/>
            <w:hideMark/>
          </w:tcPr>
          <w:p w14:paraId="17A9E9F5" w14:textId="49330B0D" w:rsidR="006B6EEE" w:rsidRPr="00DE4F22" w:rsidRDefault="006B6EEE" w:rsidP="00D36322">
            <w:pPr>
              <w:rPr>
                <w:b/>
                <w:bCs/>
                <w:color w:val="000000"/>
                <w:sz w:val="20"/>
                <w:szCs w:val="20"/>
              </w:rPr>
            </w:pPr>
            <w:r w:rsidRPr="00DE4F22">
              <w:rPr>
                <w:b/>
                <w:bCs/>
                <w:color w:val="000000"/>
                <w:sz w:val="20"/>
                <w:szCs w:val="20"/>
              </w:rPr>
              <w:t xml:space="preserve">          </w:t>
            </w:r>
            <w:r w:rsidR="00491071">
              <w:rPr>
                <w:b/>
                <w:bCs/>
                <w:color w:val="000000"/>
                <w:sz w:val="20"/>
                <w:szCs w:val="20"/>
              </w:rPr>
              <w:t>4</w:t>
            </w:r>
            <w:r w:rsidR="00D36633" w:rsidRPr="00DE4F22">
              <w:rPr>
                <w:b/>
                <w:bCs/>
                <w:color w:val="000000"/>
                <w:sz w:val="20"/>
                <w:szCs w:val="20"/>
              </w:rPr>
              <w:t>.6</w:t>
            </w:r>
            <w:r w:rsidR="00491071">
              <w:rPr>
                <w:b/>
                <w:bCs/>
                <w:color w:val="000000"/>
                <w:sz w:val="20"/>
                <w:szCs w:val="20"/>
              </w:rPr>
              <w:t>25</w:t>
            </w:r>
            <w:r w:rsidR="00D36633" w:rsidRPr="00DE4F22">
              <w:rPr>
                <w:b/>
                <w:bCs/>
                <w:color w:val="000000"/>
                <w:sz w:val="20"/>
                <w:szCs w:val="20"/>
              </w:rPr>
              <w:t>.000,00</w:t>
            </w:r>
          </w:p>
        </w:tc>
      </w:tr>
      <w:tr w:rsidR="006B6EEE" w:rsidRPr="00DE4F22" w14:paraId="70EF6ACC" w14:textId="77777777" w:rsidTr="00D36322">
        <w:trPr>
          <w:trHeight w:val="320"/>
        </w:trPr>
        <w:tc>
          <w:tcPr>
            <w:tcW w:w="1116" w:type="dxa"/>
            <w:tcBorders>
              <w:top w:val="double" w:sz="6" w:space="0" w:color="auto"/>
              <w:left w:val="double" w:sz="6" w:space="0" w:color="auto"/>
              <w:bottom w:val="single" w:sz="4" w:space="0" w:color="auto"/>
              <w:right w:val="single" w:sz="4" w:space="0" w:color="auto"/>
            </w:tcBorders>
            <w:shd w:val="clear" w:color="000000" w:fill="BFBFBF"/>
            <w:noWrap/>
            <w:vAlign w:val="center"/>
          </w:tcPr>
          <w:p w14:paraId="5017501D" w14:textId="77777777" w:rsidR="006B6EEE" w:rsidRPr="00DE4F22" w:rsidRDefault="006B6EEE" w:rsidP="00D36322">
            <w:pPr>
              <w:jc w:val="center"/>
              <w:rPr>
                <w:b/>
                <w:bCs/>
                <w:color w:val="000000"/>
                <w:sz w:val="20"/>
                <w:szCs w:val="20"/>
              </w:rPr>
            </w:pPr>
          </w:p>
        </w:tc>
        <w:tc>
          <w:tcPr>
            <w:tcW w:w="11335" w:type="dxa"/>
            <w:tcBorders>
              <w:top w:val="double" w:sz="6" w:space="0" w:color="auto"/>
              <w:left w:val="nil"/>
              <w:bottom w:val="single" w:sz="4" w:space="0" w:color="auto"/>
              <w:right w:val="single" w:sz="4" w:space="0" w:color="auto"/>
            </w:tcBorders>
            <w:shd w:val="clear" w:color="000000" w:fill="BFBFBF"/>
            <w:noWrap/>
            <w:vAlign w:val="center"/>
          </w:tcPr>
          <w:p w14:paraId="29694B98" w14:textId="77777777" w:rsidR="006B6EEE" w:rsidRPr="00DE4F22" w:rsidRDefault="006B6EEE" w:rsidP="00D36322">
            <w:pPr>
              <w:jc w:val="center"/>
              <w:rPr>
                <w:b/>
                <w:bCs/>
                <w:color w:val="000000"/>
                <w:sz w:val="20"/>
                <w:szCs w:val="20"/>
              </w:rPr>
            </w:pPr>
          </w:p>
        </w:tc>
        <w:tc>
          <w:tcPr>
            <w:tcW w:w="1461" w:type="dxa"/>
            <w:tcBorders>
              <w:top w:val="double" w:sz="6" w:space="0" w:color="auto"/>
              <w:left w:val="nil"/>
              <w:bottom w:val="single" w:sz="4" w:space="0" w:color="auto"/>
              <w:right w:val="double" w:sz="6" w:space="0" w:color="auto"/>
            </w:tcBorders>
            <w:shd w:val="clear" w:color="000000" w:fill="BFBFBF"/>
            <w:noWrap/>
            <w:vAlign w:val="center"/>
          </w:tcPr>
          <w:p w14:paraId="4785BEA4" w14:textId="77777777" w:rsidR="006B6EEE" w:rsidRPr="00DE4F22" w:rsidRDefault="006B6EEE" w:rsidP="00D36322">
            <w:pPr>
              <w:jc w:val="center"/>
              <w:rPr>
                <w:b/>
                <w:bCs/>
                <w:color w:val="000000"/>
                <w:sz w:val="20"/>
                <w:szCs w:val="20"/>
              </w:rPr>
            </w:pPr>
          </w:p>
        </w:tc>
      </w:tr>
      <w:tr w:rsidR="006B6EEE" w:rsidRPr="00DE4F22" w14:paraId="4A2740A9" w14:textId="77777777" w:rsidTr="00D36322">
        <w:trPr>
          <w:trHeight w:val="320"/>
        </w:trPr>
        <w:tc>
          <w:tcPr>
            <w:tcW w:w="1116" w:type="dxa"/>
            <w:tcBorders>
              <w:top w:val="double" w:sz="6" w:space="0" w:color="auto"/>
              <w:left w:val="double" w:sz="6" w:space="0" w:color="auto"/>
              <w:bottom w:val="single" w:sz="4" w:space="0" w:color="auto"/>
              <w:right w:val="single" w:sz="4" w:space="0" w:color="auto"/>
            </w:tcBorders>
            <w:shd w:val="clear" w:color="000000" w:fill="BFBFBF"/>
            <w:noWrap/>
            <w:vAlign w:val="center"/>
            <w:hideMark/>
          </w:tcPr>
          <w:p w14:paraId="2BE1106B" w14:textId="77777777" w:rsidR="006B6EEE" w:rsidRPr="00DE4F22" w:rsidRDefault="006B6EEE" w:rsidP="00D36322">
            <w:pPr>
              <w:jc w:val="center"/>
              <w:rPr>
                <w:b/>
                <w:bCs/>
                <w:color w:val="000000"/>
                <w:sz w:val="20"/>
                <w:szCs w:val="20"/>
              </w:rPr>
            </w:pPr>
            <w:r w:rsidRPr="00DE4F22">
              <w:rPr>
                <w:b/>
                <w:bCs/>
                <w:color w:val="000000"/>
                <w:sz w:val="20"/>
                <w:szCs w:val="20"/>
              </w:rPr>
              <w:t>Redni broj</w:t>
            </w:r>
          </w:p>
        </w:tc>
        <w:tc>
          <w:tcPr>
            <w:tcW w:w="11335" w:type="dxa"/>
            <w:tcBorders>
              <w:top w:val="double" w:sz="6" w:space="0" w:color="auto"/>
              <w:left w:val="nil"/>
              <w:bottom w:val="single" w:sz="4" w:space="0" w:color="auto"/>
              <w:right w:val="single" w:sz="4" w:space="0" w:color="auto"/>
            </w:tcBorders>
            <w:shd w:val="clear" w:color="000000" w:fill="BFBFBF"/>
            <w:noWrap/>
            <w:vAlign w:val="center"/>
            <w:hideMark/>
          </w:tcPr>
          <w:p w14:paraId="743F9988" w14:textId="77777777" w:rsidR="006B6EEE" w:rsidRPr="00DE4F22" w:rsidRDefault="006B6EEE" w:rsidP="00D36322">
            <w:pPr>
              <w:jc w:val="center"/>
              <w:rPr>
                <w:b/>
                <w:bCs/>
                <w:color w:val="000000"/>
                <w:sz w:val="20"/>
                <w:szCs w:val="20"/>
              </w:rPr>
            </w:pPr>
            <w:r w:rsidRPr="00DE4F22">
              <w:rPr>
                <w:b/>
                <w:bCs/>
                <w:color w:val="000000"/>
                <w:sz w:val="20"/>
                <w:szCs w:val="20"/>
              </w:rPr>
              <w:t>Naziv projekta (EE)</w:t>
            </w:r>
          </w:p>
        </w:tc>
        <w:tc>
          <w:tcPr>
            <w:tcW w:w="1461" w:type="dxa"/>
            <w:tcBorders>
              <w:top w:val="double" w:sz="6" w:space="0" w:color="auto"/>
              <w:left w:val="nil"/>
              <w:bottom w:val="single" w:sz="4" w:space="0" w:color="auto"/>
              <w:right w:val="double" w:sz="6" w:space="0" w:color="auto"/>
            </w:tcBorders>
            <w:shd w:val="clear" w:color="000000" w:fill="BFBFBF"/>
            <w:noWrap/>
            <w:vAlign w:val="center"/>
            <w:hideMark/>
          </w:tcPr>
          <w:p w14:paraId="46F1ED3E" w14:textId="77777777" w:rsidR="006B6EEE" w:rsidRPr="00DE4F22" w:rsidRDefault="006B6EEE" w:rsidP="00D36322">
            <w:pPr>
              <w:jc w:val="center"/>
              <w:rPr>
                <w:b/>
                <w:bCs/>
                <w:color w:val="000000"/>
                <w:sz w:val="20"/>
                <w:szCs w:val="20"/>
              </w:rPr>
            </w:pPr>
            <w:r w:rsidRPr="00DE4F22">
              <w:rPr>
                <w:b/>
                <w:bCs/>
                <w:color w:val="000000"/>
                <w:sz w:val="20"/>
                <w:szCs w:val="20"/>
              </w:rPr>
              <w:t>Budžet projekta</w:t>
            </w:r>
          </w:p>
        </w:tc>
      </w:tr>
      <w:tr w:rsidR="006B6EEE" w:rsidRPr="00DE4F22" w14:paraId="29D2D6DC" w14:textId="77777777" w:rsidTr="00D36322">
        <w:trPr>
          <w:trHeight w:val="132"/>
        </w:trPr>
        <w:tc>
          <w:tcPr>
            <w:tcW w:w="1116" w:type="dxa"/>
            <w:tcBorders>
              <w:top w:val="nil"/>
              <w:left w:val="double" w:sz="6" w:space="0" w:color="auto"/>
              <w:bottom w:val="single" w:sz="4" w:space="0" w:color="auto"/>
              <w:right w:val="single" w:sz="4" w:space="0" w:color="auto"/>
            </w:tcBorders>
            <w:noWrap/>
            <w:vAlign w:val="center"/>
            <w:hideMark/>
          </w:tcPr>
          <w:p w14:paraId="5EE864C4" w14:textId="77777777" w:rsidR="006B6EEE" w:rsidRPr="00DE4F22" w:rsidRDefault="006B6EEE" w:rsidP="00D36322">
            <w:pPr>
              <w:jc w:val="center"/>
              <w:rPr>
                <w:b/>
                <w:bCs/>
                <w:i/>
                <w:iCs/>
                <w:color w:val="000000"/>
                <w:sz w:val="20"/>
                <w:szCs w:val="20"/>
              </w:rPr>
            </w:pPr>
            <w:r w:rsidRPr="00DE4F22">
              <w:rPr>
                <w:b/>
                <w:bCs/>
                <w:i/>
                <w:iCs/>
                <w:color w:val="000000"/>
                <w:sz w:val="20"/>
                <w:szCs w:val="20"/>
              </w:rPr>
              <w:t>3.2.1</w:t>
            </w:r>
          </w:p>
        </w:tc>
        <w:tc>
          <w:tcPr>
            <w:tcW w:w="11335" w:type="dxa"/>
            <w:tcBorders>
              <w:top w:val="nil"/>
              <w:left w:val="nil"/>
              <w:bottom w:val="single" w:sz="4" w:space="0" w:color="auto"/>
              <w:right w:val="single" w:sz="4" w:space="0" w:color="auto"/>
            </w:tcBorders>
            <w:noWrap/>
            <w:vAlign w:val="center"/>
            <w:hideMark/>
          </w:tcPr>
          <w:p w14:paraId="146E9716" w14:textId="08AB255D" w:rsidR="006B6EEE" w:rsidRPr="00DE4F22" w:rsidRDefault="0043701D" w:rsidP="00D36322">
            <w:pPr>
              <w:jc w:val="both"/>
              <w:rPr>
                <w:b/>
                <w:bCs/>
                <w:i/>
                <w:iCs/>
                <w:color w:val="000000"/>
                <w:sz w:val="20"/>
                <w:szCs w:val="20"/>
              </w:rPr>
            </w:pPr>
            <w:r w:rsidRPr="0043701D">
              <w:rPr>
                <w:b/>
                <w:bCs/>
                <w:i/>
                <w:iCs/>
                <w:color w:val="000000"/>
                <w:sz w:val="20"/>
                <w:szCs w:val="20"/>
              </w:rPr>
              <w:t>Podsticaji za unapredjenje e-mobilnosti u Crnoj Gori</w:t>
            </w:r>
          </w:p>
        </w:tc>
        <w:tc>
          <w:tcPr>
            <w:tcW w:w="1461" w:type="dxa"/>
            <w:tcBorders>
              <w:top w:val="nil"/>
              <w:left w:val="nil"/>
              <w:bottom w:val="single" w:sz="4" w:space="0" w:color="auto"/>
              <w:right w:val="double" w:sz="6" w:space="0" w:color="auto"/>
            </w:tcBorders>
            <w:noWrap/>
            <w:vAlign w:val="bottom"/>
            <w:hideMark/>
          </w:tcPr>
          <w:p w14:paraId="71A6DF56" w14:textId="76EB3E3F" w:rsidR="006B6EEE" w:rsidRPr="00DE4F22" w:rsidRDefault="006B6EEE" w:rsidP="00D36322">
            <w:pPr>
              <w:rPr>
                <w:color w:val="000000"/>
                <w:sz w:val="20"/>
                <w:szCs w:val="20"/>
              </w:rPr>
            </w:pPr>
            <w:r w:rsidRPr="00DE4F22">
              <w:rPr>
                <w:color w:val="000000"/>
                <w:sz w:val="20"/>
                <w:szCs w:val="20"/>
              </w:rPr>
              <w:t xml:space="preserve">          </w:t>
            </w:r>
            <w:r w:rsidR="0043701D">
              <w:rPr>
                <w:color w:val="000000"/>
                <w:sz w:val="20"/>
                <w:szCs w:val="20"/>
              </w:rPr>
              <w:t>100</w:t>
            </w:r>
            <w:r w:rsidR="00D36633" w:rsidRPr="00DE4F22">
              <w:rPr>
                <w:color w:val="000000"/>
                <w:sz w:val="20"/>
                <w:szCs w:val="20"/>
              </w:rPr>
              <w:t>.000,00</w:t>
            </w:r>
            <w:r w:rsidRPr="00DE4F22">
              <w:rPr>
                <w:color w:val="000000"/>
                <w:sz w:val="20"/>
                <w:szCs w:val="20"/>
              </w:rPr>
              <w:t xml:space="preserve"> </w:t>
            </w:r>
          </w:p>
        </w:tc>
      </w:tr>
      <w:tr w:rsidR="006B6EEE" w:rsidRPr="00DE4F22" w14:paraId="7817A34B" w14:textId="77777777" w:rsidTr="00D36322">
        <w:trPr>
          <w:trHeight w:val="380"/>
        </w:trPr>
        <w:tc>
          <w:tcPr>
            <w:tcW w:w="1116" w:type="dxa"/>
            <w:tcBorders>
              <w:top w:val="nil"/>
              <w:left w:val="double" w:sz="6" w:space="0" w:color="auto"/>
              <w:bottom w:val="single" w:sz="4" w:space="0" w:color="auto"/>
              <w:right w:val="single" w:sz="4" w:space="0" w:color="auto"/>
            </w:tcBorders>
            <w:noWrap/>
            <w:vAlign w:val="center"/>
            <w:hideMark/>
          </w:tcPr>
          <w:p w14:paraId="18899010" w14:textId="77777777" w:rsidR="006B6EEE" w:rsidRPr="00DE4F22" w:rsidRDefault="006B6EEE" w:rsidP="00D36322">
            <w:pPr>
              <w:jc w:val="center"/>
              <w:rPr>
                <w:b/>
                <w:bCs/>
                <w:i/>
                <w:iCs/>
                <w:color w:val="000000"/>
                <w:sz w:val="20"/>
                <w:szCs w:val="20"/>
              </w:rPr>
            </w:pPr>
            <w:r w:rsidRPr="00DE4F22">
              <w:rPr>
                <w:b/>
                <w:bCs/>
                <w:i/>
                <w:iCs/>
                <w:color w:val="000000"/>
                <w:sz w:val="20"/>
                <w:szCs w:val="20"/>
              </w:rPr>
              <w:t>3.2.2</w:t>
            </w:r>
          </w:p>
        </w:tc>
        <w:tc>
          <w:tcPr>
            <w:tcW w:w="11335" w:type="dxa"/>
            <w:tcBorders>
              <w:top w:val="nil"/>
              <w:left w:val="nil"/>
              <w:bottom w:val="single" w:sz="4" w:space="0" w:color="auto"/>
              <w:right w:val="single" w:sz="4" w:space="0" w:color="auto"/>
            </w:tcBorders>
            <w:noWrap/>
            <w:vAlign w:val="center"/>
            <w:hideMark/>
          </w:tcPr>
          <w:p w14:paraId="70687CFE" w14:textId="6E7DE998" w:rsidR="006B6EEE" w:rsidRPr="00DE4F22" w:rsidRDefault="00497452" w:rsidP="00D36322">
            <w:pPr>
              <w:jc w:val="both"/>
              <w:rPr>
                <w:b/>
                <w:bCs/>
                <w:i/>
                <w:iCs/>
                <w:color w:val="000000"/>
                <w:sz w:val="20"/>
                <w:szCs w:val="20"/>
              </w:rPr>
            </w:pPr>
            <w:r w:rsidRPr="00497452">
              <w:rPr>
                <w:b/>
                <w:bCs/>
                <w:i/>
                <w:iCs/>
                <w:color w:val="000000"/>
                <w:sz w:val="20"/>
                <w:szCs w:val="20"/>
                <w:lang w:val="bs-Latn-BA"/>
              </w:rPr>
              <w:t>Javni konkurs za dodjelu bespovratnih sredstava (subvencija) za nabavku energetski efikasnih uređaja u domaćinstvima</w:t>
            </w:r>
          </w:p>
        </w:tc>
        <w:tc>
          <w:tcPr>
            <w:tcW w:w="1461" w:type="dxa"/>
            <w:tcBorders>
              <w:top w:val="nil"/>
              <w:left w:val="nil"/>
              <w:bottom w:val="single" w:sz="4" w:space="0" w:color="auto"/>
              <w:right w:val="double" w:sz="6" w:space="0" w:color="auto"/>
            </w:tcBorders>
            <w:noWrap/>
            <w:vAlign w:val="bottom"/>
            <w:hideMark/>
          </w:tcPr>
          <w:p w14:paraId="73900B8A" w14:textId="159951F8" w:rsidR="006B6EEE" w:rsidRPr="00DE4F22" w:rsidRDefault="006B6EEE" w:rsidP="00D36322">
            <w:pPr>
              <w:rPr>
                <w:color w:val="000000"/>
                <w:sz w:val="20"/>
                <w:szCs w:val="20"/>
              </w:rPr>
            </w:pPr>
            <w:r w:rsidRPr="00DE4F22">
              <w:rPr>
                <w:color w:val="000000"/>
                <w:sz w:val="20"/>
                <w:szCs w:val="20"/>
              </w:rPr>
              <w:t xml:space="preserve">             </w:t>
            </w:r>
            <w:r w:rsidR="0043701D">
              <w:rPr>
                <w:color w:val="000000"/>
                <w:sz w:val="20"/>
                <w:szCs w:val="20"/>
              </w:rPr>
              <w:t>4</w:t>
            </w:r>
            <w:r w:rsidR="00D36633" w:rsidRPr="00DE4F22">
              <w:rPr>
                <w:color w:val="000000"/>
                <w:sz w:val="20"/>
                <w:szCs w:val="20"/>
              </w:rPr>
              <w:t>00.000,00</w:t>
            </w:r>
            <w:r w:rsidRPr="00DE4F22">
              <w:rPr>
                <w:color w:val="000000"/>
                <w:sz w:val="20"/>
                <w:szCs w:val="20"/>
              </w:rPr>
              <w:t xml:space="preserve"> </w:t>
            </w:r>
          </w:p>
        </w:tc>
      </w:tr>
      <w:tr w:rsidR="006B6EEE" w:rsidRPr="00DE4F22" w14:paraId="11886A8F" w14:textId="77777777" w:rsidTr="00D36322">
        <w:trPr>
          <w:trHeight w:val="188"/>
        </w:trPr>
        <w:tc>
          <w:tcPr>
            <w:tcW w:w="1116" w:type="dxa"/>
            <w:tcBorders>
              <w:top w:val="nil"/>
              <w:left w:val="double" w:sz="6" w:space="0" w:color="auto"/>
              <w:bottom w:val="single" w:sz="4" w:space="0" w:color="auto"/>
              <w:right w:val="single" w:sz="4" w:space="0" w:color="auto"/>
            </w:tcBorders>
            <w:noWrap/>
            <w:vAlign w:val="center"/>
            <w:hideMark/>
          </w:tcPr>
          <w:p w14:paraId="3DE05F52" w14:textId="77777777" w:rsidR="006B6EEE" w:rsidRPr="00DE4F22" w:rsidRDefault="006B6EEE" w:rsidP="00D36322">
            <w:pPr>
              <w:jc w:val="center"/>
              <w:rPr>
                <w:b/>
                <w:bCs/>
                <w:i/>
                <w:iCs/>
                <w:color w:val="000000"/>
                <w:sz w:val="20"/>
                <w:szCs w:val="20"/>
              </w:rPr>
            </w:pPr>
            <w:r w:rsidRPr="00DE4F22">
              <w:rPr>
                <w:b/>
                <w:bCs/>
                <w:i/>
                <w:iCs/>
                <w:color w:val="000000"/>
                <w:sz w:val="20"/>
                <w:szCs w:val="20"/>
              </w:rPr>
              <w:t>3.2.3</w:t>
            </w:r>
          </w:p>
        </w:tc>
        <w:tc>
          <w:tcPr>
            <w:tcW w:w="11335" w:type="dxa"/>
            <w:tcBorders>
              <w:top w:val="nil"/>
              <w:left w:val="nil"/>
              <w:bottom w:val="single" w:sz="4" w:space="0" w:color="auto"/>
              <w:right w:val="single" w:sz="4" w:space="0" w:color="auto"/>
            </w:tcBorders>
            <w:noWrap/>
            <w:vAlign w:val="center"/>
            <w:hideMark/>
          </w:tcPr>
          <w:p w14:paraId="63B595FE" w14:textId="5E01D7B2" w:rsidR="006B6EEE" w:rsidRPr="00DE4F22" w:rsidRDefault="00AA6081" w:rsidP="00D36322">
            <w:pPr>
              <w:jc w:val="both"/>
              <w:rPr>
                <w:b/>
                <w:bCs/>
                <w:i/>
                <w:iCs/>
                <w:color w:val="000000"/>
                <w:sz w:val="20"/>
                <w:szCs w:val="20"/>
              </w:rPr>
            </w:pPr>
            <w:r w:rsidRPr="00AA6081">
              <w:rPr>
                <w:b/>
                <w:bCs/>
                <w:i/>
                <w:iCs/>
                <w:color w:val="000000"/>
                <w:sz w:val="20"/>
                <w:szCs w:val="20"/>
                <w:lang w:val="bs-Latn-BA"/>
              </w:rPr>
              <w:t>Podsticaji za primjenu mjera energetske efikasnosti u domaćinstvima i privredi</w:t>
            </w:r>
          </w:p>
        </w:tc>
        <w:tc>
          <w:tcPr>
            <w:tcW w:w="1461" w:type="dxa"/>
            <w:tcBorders>
              <w:top w:val="nil"/>
              <w:left w:val="nil"/>
              <w:bottom w:val="single" w:sz="4" w:space="0" w:color="auto"/>
              <w:right w:val="double" w:sz="6" w:space="0" w:color="auto"/>
            </w:tcBorders>
            <w:noWrap/>
            <w:vAlign w:val="bottom"/>
            <w:hideMark/>
          </w:tcPr>
          <w:p w14:paraId="48481CDF" w14:textId="2B9EC487" w:rsidR="006B6EEE" w:rsidRPr="00DE4F22" w:rsidRDefault="006B6EEE" w:rsidP="00D36322">
            <w:pPr>
              <w:rPr>
                <w:color w:val="000000"/>
                <w:sz w:val="20"/>
                <w:szCs w:val="20"/>
              </w:rPr>
            </w:pPr>
            <w:r w:rsidRPr="00DE4F22">
              <w:rPr>
                <w:color w:val="000000"/>
                <w:sz w:val="20"/>
                <w:szCs w:val="20"/>
              </w:rPr>
              <w:t xml:space="preserve">             </w:t>
            </w:r>
            <w:r w:rsidR="0043701D">
              <w:rPr>
                <w:color w:val="000000"/>
                <w:sz w:val="20"/>
                <w:szCs w:val="20"/>
              </w:rPr>
              <w:t>760</w:t>
            </w:r>
            <w:r w:rsidR="00D36633" w:rsidRPr="00DE4F22">
              <w:rPr>
                <w:color w:val="000000"/>
                <w:sz w:val="20"/>
                <w:szCs w:val="20"/>
              </w:rPr>
              <w:t>.000</w:t>
            </w:r>
            <w:r w:rsidR="00DE4F22">
              <w:rPr>
                <w:color w:val="000000"/>
                <w:sz w:val="20"/>
                <w:szCs w:val="20"/>
              </w:rPr>
              <w:t>,</w:t>
            </w:r>
            <w:r w:rsidRPr="00DE4F22">
              <w:rPr>
                <w:color w:val="000000"/>
                <w:sz w:val="20"/>
                <w:szCs w:val="20"/>
              </w:rPr>
              <w:t xml:space="preserve">00 </w:t>
            </w:r>
          </w:p>
        </w:tc>
      </w:tr>
      <w:tr w:rsidR="006B6EEE" w:rsidRPr="00DE4F22" w14:paraId="21997BAE" w14:textId="77777777" w:rsidTr="00D36322">
        <w:trPr>
          <w:trHeight w:val="294"/>
        </w:trPr>
        <w:tc>
          <w:tcPr>
            <w:tcW w:w="1116" w:type="dxa"/>
            <w:tcBorders>
              <w:top w:val="nil"/>
              <w:left w:val="double" w:sz="6" w:space="0" w:color="auto"/>
              <w:bottom w:val="single" w:sz="4" w:space="0" w:color="auto"/>
              <w:right w:val="single" w:sz="4" w:space="0" w:color="auto"/>
            </w:tcBorders>
            <w:noWrap/>
            <w:vAlign w:val="center"/>
            <w:hideMark/>
          </w:tcPr>
          <w:p w14:paraId="396CB7BB" w14:textId="77777777" w:rsidR="006B6EEE" w:rsidRPr="00DE4F22" w:rsidRDefault="006B6EEE" w:rsidP="00D36322">
            <w:pPr>
              <w:jc w:val="center"/>
              <w:rPr>
                <w:b/>
                <w:bCs/>
                <w:i/>
                <w:iCs/>
                <w:color w:val="000000"/>
                <w:sz w:val="20"/>
                <w:szCs w:val="20"/>
              </w:rPr>
            </w:pPr>
            <w:r w:rsidRPr="00DE4F22">
              <w:rPr>
                <w:b/>
                <w:bCs/>
                <w:i/>
                <w:iCs/>
                <w:color w:val="000000"/>
                <w:sz w:val="20"/>
                <w:szCs w:val="20"/>
              </w:rPr>
              <w:t>3.2.4</w:t>
            </w:r>
          </w:p>
        </w:tc>
        <w:tc>
          <w:tcPr>
            <w:tcW w:w="11335" w:type="dxa"/>
            <w:tcBorders>
              <w:top w:val="nil"/>
              <w:left w:val="nil"/>
              <w:bottom w:val="single" w:sz="4" w:space="0" w:color="auto"/>
              <w:right w:val="single" w:sz="4" w:space="0" w:color="auto"/>
            </w:tcBorders>
            <w:noWrap/>
            <w:vAlign w:val="center"/>
            <w:hideMark/>
          </w:tcPr>
          <w:p w14:paraId="1AD15B3A" w14:textId="03EFB21B" w:rsidR="006B6EEE" w:rsidRPr="00DE4F22" w:rsidRDefault="008C347B" w:rsidP="00D36322">
            <w:pPr>
              <w:jc w:val="both"/>
              <w:rPr>
                <w:b/>
                <w:bCs/>
                <w:i/>
                <w:iCs/>
                <w:color w:val="000000"/>
                <w:sz w:val="20"/>
                <w:szCs w:val="20"/>
              </w:rPr>
            </w:pPr>
            <w:r w:rsidRPr="008C347B">
              <w:rPr>
                <w:b/>
                <w:bCs/>
                <w:i/>
                <w:iCs/>
                <w:color w:val="000000"/>
                <w:sz w:val="20"/>
                <w:szCs w:val="20"/>
                <w:lang w:val="bs-Latn-BA"/>
              </w:rPr>
              <w:t>Podsticaji za primjenu mjera energetske efikasnosti u javnom sektoru</w:t>
            </w:r>
          </w:p>
        </w:tc>
        <w:tc>
          <w:tcPr>
            <w:tcW w:w="1461" w:type="dxa"/>
            <w:tcBorders>
              <w:top w:val="nil"/>
              <w:left w:val="nil"/>
              <w:bottom w:val="single" w:sz="4" w:space="0" w:color="auto"/>
              <w:right w:val="double" w:sz="6" w:space="0" w:color="auto"/>
            </w:tcBorders>
            <w:noWrap/>
            <w:vAlign w:val="bottom"/>
            <w:hideMark/>
          </w:tcPr>
          <w:p w14:paraId="6CA56ED3" w14:textId="4B8B650F" w:rsidR="006B6EEE" w:rsidRPr="00DE4F22" w:rsidRDefault="006B6EEE" w:rsidP="00D36322">
            <w:pPr>
              <w:rPr>
                <w:color w:val="000000"/>
                <w:sz w:val="20"/>
                <w:szCs w:val="20"/>
              </w:rPr>
            </w:pPr>
            <w:r w:rsidRPr="00DE4F22">
              <w:rPr>
                <w:color w:val="000000"/>
                <w:sz w:val="20"/>
                <w:szCs w:val="20"/>
              </w:rPr>
              <w:t xml:space="preserve">             </w:t>
            </w:r>
            <w:r w:rsidR="00D36633" w:rsidRPr="00DE4F22">
              <w:rPr>
                <w:color w:val="000000"/>
                <w:sz w:val="20"/>
                <w:szCs w:val="20"/>
              </w:rPr>
              <w:t>200.000,00</w:t>
            </w:r>
            <w:r w:rsidRPr="00DE4F22">
              <w:rPr>
                <w:color w:val="000000"/>
                <w:sz w:val="20"/>
                <w:szCs w:val="20"/>
              </w:rPr>
              <w:t xml:space="preserve"> </w:t>
            </w:r>
          </w:p>
        </w:tc>
      </w:tr>
      <w:tr w:rsidR="006B6EEE" w:rsidRPr="00DE4F22" w14:paraId="3AAC96B6" w14:textId="77777777" w:rsidTr="00D36322">
        <w:trPr>
          <w:trHeight w:val="293"/>
        </w:trPr>
        <w:tc>
          <w:tcPr>
            <w:tcW w:w="1116" w:type="dxa"/>
            <w:tcBorders>
              <w:top w:val="nil"/>
              <w:left w:val="double" w:sz="6" w:space="0" w:color="auto"/>
              <w:bottom w:val="single" w:sz="4" w:space="0" w:color="auto"/>
              <w:right w:val="single" w:sz="4" w:space="0" w:color="auto"/>
            </w:tcBorders>
            <w:noWrap/>
            <w:vAlign w:val="center"/>
            <w:hideMark/>
          </w:tcPr>
          <w:p w14:paraId="182A92C3" w14:textId="77777777" w:rsidR="006B6EEE" w:rsidRPr="00DE4F22" w:rsidRDefault="006B6EEE" w:rsidP="00D36322">
            <w:pPr>
              <w:jc w:val="center"/>
              <w:rPr>
                <w:b/>
                <w:bCs/>
                <w:i/>
                <w:iCs/>
                <w:color w:val="000000"/>
                <w:sz w:val="20"/>
                <w:szCs w:val="20"/>
              </w:rPr>
            </w:pPr>
            <w:r w:rsidRPr="00DE4F22">
              <w:rPr>
                <w:b/>
                <w:bCs/>
                <w:i/>
                <w:iCs/>
                <w:color w:val="000000"/>
                <w:sz w:val="20"/>
                <w:szCs w:val="20"/>
              </w:rPr>
              <w:t>3.2.5</w:t>
            </w:r>
          </w:p>
        </w:tc>
        <w:tc>
          <w:tcPr>
            <w:tcW w:w="11335" w:type="dxa"/>
            <w:tcBorders>
              <w:top w:val="nil"/>
              <w:left w:val="nil"/>
              <w:bottom w:val="single" w:sz="4" w:space="0" w:color="auto"/>
              <w:right w:val="single" w:sz="4" w:space="0" w:color="auto"/>
            </w:tcBorders>
            <w:noWrap/>
            <w:vAlign w:val="center"/>
            <w:hideMark/>
          </w:tcPr>
          <w:p w14:paraId="344D006F" w14:textId="40EA74E2" w:rsidR="006B6EEE" w:rsidRPr="00DE4F22" w:rsidRDefault="00871F6E" w:rsidP="00D36322">
            <w:pPr>
              <w:jc w:val="both"/>
              <w:rPr>
                <w:b/>
                <w:bCs/>
                <w:i/>
                <w:iCs/>
                <w:color w:val="000000"/>
                <w:sz w:val="20"/>
                <w:szCs w:val="20"/>
              </w:rPr>
            </w:pPr>
            <w:r w:rsidRPr="00871F6E">
              <w:rPr>
                <w:b/>
                <w:bCs/>
                <w:i/>
                <w:iCs/>
                <w:color w:val="000000"/>
                <w:sz w:val="20"/>
                <w:szCs w:val="20"/>
                <w:lang w:val="sr-Latn-RS"/>
              </w:rPr>
              <w:t>Modernizacija javne rasvjete i označavanje objekata u okviru kompleksa Kliničkog centara Crne Gore</w:t>
            </w:r>
          </w:p>
        </w:tc>
        <w:tc>
          <w:tcPr>
            <w:tcW w:w="1461" w:type="dxa"/>
            <w:tcBorders>
              <w:top w:val="nil"/>
              <w:left w:val="nil"/>
              <w:bottom w:val="single" w:sz="4" w:space="0" w:color="auto"/>
              <w:right w:val="double" w:sz="6" w:space="0" w:color="auto"/>
            </w:tcBorders>
            <w:noWrap/>
            <w:vAlign w:val="bottom"/>
            <w:hideMark/>
          </w:tcPr>
          <w:p w14:paraId="091661A4" w14:textId="0F844EED" w:rsidR="006B6EEE" w:rsidRPr="00DE4F22" w:rsidRDefault="006B6EEE" w:rsidP="00D36322">
            <w:pPr>
              <w:rPr>
                <w:color w:val="000000"/>
                <w:sz w:val="20"/>
                <w:szCs w:val="20"/>
              </w:rPr>
            </w:pPr>
            <w:r w:rsidRPr="00DE4F22">
              <w:rPr>
                <w:color w:val="000000"/>
                <w:sz w:val="20"/>
                <w:szCs w:val="20"/>
              </w:rPr>
              <w:t xml:space="preserve">             </w:t>
            </w:r>
            <w:r w:rsidR="00D36633" w:rsidRPr="00DE4F22">
              <w:rPr>
                <w:color w:val="000000"/>
                <w:sz w:val="20"/>
                <w:szCs w:val="20"/>
              </w:rPr>
              <w:t>1</w:t>
            </w:r>
            <w:r w:rsidR="0043701D">
              <w:rPr>
                <w:color w:val="000000"/>
                <w:sz w:val="20"/>
                <w:szCs w:val="20"/>
              </w:rPr>
              <w:t>2</w:t>
            </w:r>
            <w:r w:rsidR="00D36633" w:rsidRPr="00DE4F22">
              <w:rPr>
                <w:color w:val="000000"/>
                <w:sz w:val="20"/>
                <w:szCs w:val="20"/>
              </w:rPr>
              <w:t>0.000,00</w:t>
            </w:r>
            <w:r w:rsidRPr="00DE4F22">
              <w:rPr>
                <w:color w:val="000000"/>
                <w:sz w:val="20"/>
                <w:szCs w:val="20"/>
              </w:rPr>
              <w:t xml:space="preserve"> </w:t>
            </w:r>
          </w:p>
        </w:tc>
      </w:tr>
      <w:tr w:rsidR="006B6EEE" w:rsidRPr="00DE4F22" w14:paraId="3A4FD023" w14:textId="77777777" w:rsidTr="00D36322">
        <w:trPr>
          <w:trHeight w:val="201"/>
        </w:trPr>
        <w:tc>
          <w:tcPr>
            <w:tcW w:w="12451" w:type="dxa"/>
            <w:gridSpan w:val="2"/>
            <w:tcBorders>
              <w:top w:val="single" w:sz="4" w:space="0" w:color="auto"/>
              <w:left w:val="double" w:sz="6" w:space="0" w:color="auto"/>
              <w:bottom w:val="single" w:sz="4" w:space="0" w:color="auto"/>
              <w:right w:val="single" w:sz="4" w:space="0" w:color="000000"/>
            </w:tcBorders>
            <w:shd w:val="clear" w:color="000000" w:fill="D9D9D9"/>
            <w:noWrap/>
            <w:vAlign w:val="bottom"/>
            <w:hideMark/>
          </w:tcPr>
          <w:p w14:paraId="1C3D44BE" w14:textId="34EC01FC" w:rsidR="006B6EEE" w:rsidRPr="00DE4F22" w:rsidRDefault="00DE4F22" w:rsidP="0043701D">
            <w:pPr>
              <w:rPr>
                <w:b/>
                <w:bCs/>
                <w:color w:val="000000"/>
                <w:sz w:val="20"/>
                <w:szCs w:val="20"/>
              </w:rPr>
            </w:pPr>
            <w:r>
              <w:rPr>
                <w:b/>
                <w:bCs/>
                <w:color w:val="000000"/>
                <w:sz w:val="20"/>
                <w:szCs w:val="20"/>
              </w:rPr>
              <w:t>Ukupno</w:t>
            </w:r>
            <w:r w:rsidR="006B6EEE" w:rsidRPr="00DE4F22">
              <w:rPr>
                <w:b/>
                <w:bCs/>
                <w:color w:val="000000"/>
                <w:sz w:val="20"/>
                <w:szCs w:val="20"/>
              </w:rPr>
              <w:t xml:space="preserve"> EE</w:t>
            </w:r>
          </w:p>
        </w:tc>
        <w:tc>
          <w:tcPr>
            <w:tcW w:w="1461" w:type="dxa"/>
            <w:tcBorders>
              <w:top w:val="nil"/>
              <w:left w:val="nil"/>
              <w:bottom w:val="single" w:sz="4" w:space="0" w:color="auto"/>
              <w:right w:val="double" w:sz="6" w:space="0" w:color="auto"/>
            </w:tcBorders>
            <w:shd w:val="clear" w:color="000000" w:fill="D9D9D9"/>
            <w:noWrap/>
            <w:vAlign w:val="bottom"/>
            <w:hideMark/>
          </w:tcPr>
          <w:p w14:paraId="7582E9CA" w14:textId="785BFCB5" w:rsidR="006B6EEE" w:rsidRPr="00DE4F22" w:rsidRDefault="006B6EEE" w:rsidP="00D36322">
            <w:pPr>
              <w:rPr>
                <w:b/>
                <w:bCs/>
                <w:color w:val="000000"/>
                <w:sz w:val="20"/>
                <w:szCs w:val="20"/>
              </w:rPr>
            </w:pPr>
            <w:r w:rsidRPr="00DE4F22">
              <w:rPr>
                <w:b/>
                <w:bCs/>
                <w:color w:val="000000"/>
                <w:sz w:val="20"/>
                <w:szCs w:val="20"/>
              </w:rPr>
              <w:t xml:space="preserve">          </w:t>
            </w:r>
            <w:r w:rsidR="00DD20EE" w:rsidRPr="00DE4F22">
              <w:rPr>
                <w:b/>
                <w:bCs/>
                <w:color w:val="000000"/>
                <w:sz w:val="20"/>
                <w:szCs w:val="20"/>
              </w:rPr>
              <w:t>1.</w:t>
            </w:r>
            <w:r w:rsidR="0043701D">
              <w:rPr>
                <w:b/>
                <w:bCs/>
                <w:color w:val="000000"/>
                <w:sz w:val="20"/>
                <w:szCs w:val="20"/>
              </w:rPr>
              <w:t>580</w:t>
            </w:r>
            <w:r w:rsidR="00DD20EE" w:rsidRPr="00DE4F22">
              <w:rPr>
                <w:b/>
                <w:bCs/>
                <w:color w:val="000000"/>
                <w:sz w:val="20"/>
                <w:szCs w:val="20"/>
              </w:rPr>
              <w:t>.000,00</w:t>
            </w:r>
            <w:r w:rsidRPr="00DE4F22">
              <w:rPr>
                <w:b/>
                <w:bCs/>
                <w:color w:val="000000"/>
                <w:sz w:val="20"/>
                <w:szCs w:val="20"/>
              </w:rPr>
              <w:t xml:space="preserve"> </w:t>
            </w:r>
          </w:p>
        </w:tc>
      </w:tr>
      <w:tr w:rsidR="006B6EEE" w:rsidRPr="00DE4F22" w14:paraId="7384D44E" w14:textId="77777777" w:rsidTr="00D36322">
        <w:trPr>
          <w:trHeight w:val="310"/>
        </w:trPr>
        <w:tc>
          <w:tcPr>
            <w:tcW w:w="1116" w:type="dxa"/>
            <w:tcBorders>
              <w:top w:val="nil"/>
              <w:left w:val="double" w:sz="6" w:space="0" w:color="auto"/>
              <w:bottom w:val="nil"/>
              <w:right w:val="nil"/>
            </w:tcBorders>
            <w:shd w:val="clear" w:color="000000" w:fill="FFFFFF"/>
            <w:noWrap/>
            <w:vAlign w:val="bottom"/>
            <w:hideMark/>
          </w:tcPr>
          <w:p w14:paraId="22F09BF8" w14:textId="77777777" w:rsidR="006B6EEE" w:rsidRPr="00DE4F22" w:rsidRDefault="006B6EEE" w:rsidP="00D36322">
            <w:pPr>
              <w:rPr>
                <w:color w:val="000000"/>
                <w:sz w:val="20"/>
                <w:szCs w:val="20"/>
              </w:rPr>
            </w:pPr>
            <w:r w:rsidRPr="00DE4F22">
              <w:rPr>
                <w:color w:val="000000"/>
                <w:sz w:val="20"/>
                <w:szCs w:val="20"/>
              </w:rPr>
              <w:t> </w:t>
            </w:r>
          </w:p>
        </w:tc>
        <w:tc>
          <w:tcPr>
            <w:tcW w:w="11335" w:type="dxa"/>
            <w:tcBorders>
              <w:top w:val="nil"/>
              <w:left w:val="nil"/>
              <w:bottom w:val="nil"/>
              <w:right w:val="nil"/>
            </w:tcBorders>
            <w:shd w:val="clear" w:color="000000" w:fill="FFFFFF"/>
            <w:noWrap/>
            <w:vAlign w:val="bottom"/>
            <w:hideMark/>
          </w:tcPr>
          <w:p w14:paraId="039C36FD" w14:textId="77777777" w:rsidR="006B6EEE" w:rsidRPr="00DE4F22" w:rsidRDefault="006B6EEE" w:rsidP="00D36322">
            <w:pPr>
              <w:rPr>
                <w:color w:val="000000"/>
                <w:sz w:val="20"/>
                <w:szCs w:val="20"/>
              </w:rPr>
            </w:pPr>
            <w:r w:rsidRPr="00DE4F22">
              <w:rPr>
                <w:color w:val="000000"/>
                <w:sz w:val="20"/>
                <w:szCs w:val="20"/>
              </w:rPr>
              <w:t> </w:t>
            </w:r>
          </w:p>
        </w:tc>
        <w:tc>
          <w:tcPr>
            <w:tcW w:w="1461" w:type="dxa"/>
            <w:tcBorders>
              <w:top w:val="nil"/>
              <w:left w:val="nil"/>
              <w:bottom w:val="nil"/>
              <w:right w:val="double" w:sz="6" w:space="0" w:color="auto"/>
            </w:tcBorders>
            <w:shd w:val="clear" w:color="000000" w:fill="FFFFFF"/>
            <w:noWrap/>
            <w:vAlign w:val="bottom"/>
            <w:hideMark/>
          </w:tcPr>
          <w:p w14:paraId="1AF63CBD" w14:textId="77777777" w:rsidR="006B6EEE" w:rsidRPr="00DE4F22" w:rsidRDefault="006B6EEE" w:rsidP="00D36322">
            <w:pPr>
              <w:rPr>
                <w:color w:val="000000"/>
                <w:sz w:val="20"/>
                <w:szCs w:val="20"/>
              </w:rPr>
            </w:pPr>
            <w:r w:rsidRPr="00DE4F22">
              <w:rPr>
                <w:color w:val="000000"/>
                <w:sz w:val="20"/>
                <w:szCs w:val="20"/>
              </w:rPr>
              <w:t> </w:t>
            </w:r>
          </w:p>
        </w:tc>
      </w:tr>
      <w:tr w:rsidR="006B6EEE" w:rsidRPr="00DE4F22" w14:paraId="465B10F4" w14:textId="77777777" w:rsidTr="00D36322">
        <w:trPr>
          <w:trHeight w:val="35"/>
        </w:trPr>
        <w:tc>
          <w:tcPr>
            <w:tcW w:w="1116" w:type="dxa"/>
            <w:tcBorders>
              <w:top w:val="double" w:sz="6" w:space="0" w:color="auto"/>
              <w:left w:val="double" w:sz="6" w:space="0" w:color="auto"/>
              <w:bottom w:val="nil"/>
              <w:right w:val="nil"/>
            </w:tcBorders>
            <w:shd w:val="clear" w:color="000000" w:fill="FFFFFF"/>
            <w:noWrap/>
            <w:vAlign w:val="bottom"/>
            <w:hideMark/>
          </w:tcPr>
          <w:p w14:paraId="2CAEC1DD" w14:textId="77777777" w:rsidR="006B6EEE" w:rsidRPr="00DE4F22" w:rsidRDefault="006B6EEE" w:rsidP="00D36322">
            <w:pPr>
              <w:rPr>
                <w:color w:val="000000"/>
                <w:sz w:val="20"/>
                <w:szCs w:val="20"/>
              </w:rPr>
            </w:pPr>
            <w:r w:rsidRPr="00DE4F22">
              <w:rPr>
                <w:color w:val="000000"/>
                <w:sz w:val="20"/>
                <w:szCs w:val="20"/>
              </w:rPr>
              <w:t> </w:t>
            </w:r>
          </w:p>
        </w:tc>
        <w:tc>
          <w:tcPr>
            <w:tcW w:w="11335" w:type="dxa"/>
            <w:tcBorders>
              <w:top w:val="double" w:sz="6" w:space="0" w:color="auto"/>
              <w:left w:val="nil"/>
              <w:bottom w:val="nil"/>
              <w:right w:val="nil"/>
            </w:tcBorders>
            <w:shd w:val="clear" w:color="000000" w:fill="FFFFFF"/>
            <w:noWrap/>
            <w:vAlign w:val="bottom"/>
            <w:hideMark/>
          </w:tcPr>
          <w:p w14:paraId="475017E5" w14:textId="77777777" w:rsidR="006B6EEE" w:rsidRPr="00DE4F22" w:rsidRDefault="006B6EEE" w:rsidP="00D36322">
            <w:pPr>
              <w:rPr>
                <w:color w:val="000000"/>
                <w:sz w:val="20"/>
                <w:szCs w:val="20"/>
              </w:rPr>
            </w:pPr>
          </w:p>
        </w:tc>
        <w:tc>
          <w:tcPr>
            <w:tcW w:w="1461" w:type="dxa"/>
            <w:tcBorders>
              <w:top w:val="double" w:sz="6" w:space="0" w:color="auto"/>
              <w:left w:val="nil"/>
              <w:bottom w:val="nil"/>
              <w:right w:val="double" w:sz="6" w:space="0" w:color="auto"/>
            </w:tcBorders>
            <w:shd w:val="clear" w:color="000000" w:fill="FFFFFF"/>
            <w:noWrap/>
            <w:vAlign w:val="bottom"/>
            <w:hideMark/>
          </w:tcPr>
          <w:p w14:paraId="66B19982" w14:textId="77777777" w:rsidR="006B6EEE" w:rsidRPr="00DE4F22" w:rsidRDefault="006B6EEE" w:rsidP="00D36322">
            <w:pPr>
              <w:rPr>
                <w:color w:val="000000"/>
                <w:sz w:val="20"/>
                <w:szCs w:val="20"/>
              </w:rPr>
            </w:pPr>
            <w:r w:rsidRPr="00DE4F22">
              <w:rPr>
                <w:color w:val="000000"/>
                <w:sz w:val="20"/>
                <w:szCs w:val="20"/>
              </w:rPr>
              <w:t> </w:t>
            </w:r>
          </w:p>
        </w:tc>
      </w:tr>
      <w:tr w:rsidR="006B6EEE" w:rsidRPr="00DE4F22" w14:paraId="776EDE15" w14:textId="77777777" w:rsidTr="00D36322">
        <w:trPr>
          <w:trHeight w:val="80"/>
        </w:trPr>
        <w:tc>
          <w:tcPr>
            <w:tcW w:w="1116" w:type="dxa"/>
            <w:tcBorders>
              <w:top w:val="nil"/>
              <w:left w:val="double" w:sz="6" w:space="0" w:color="auto"/>
              <w:bottom w:val="nil"/>
              <w:right w:val="nil"/>
            </w:tcBorders>
            <w:shd w:val="clear" w:color="000000" w:fill="FFFFFF"/>
            <w:noWrap/>
            <w:vAlign w:val="bottom"/>
            <w:hideMark/>
          </w:tcPr>
          <w:p w14:paraId="2EA63CBB" w14:textId="77777777" w:rsidR="006B6EEE" w:rsidRPr="00DE4F22" w:rsidRDefault="006B6EEE" w:rsidP="00D36322">
            <w:pPr>
              <w:rPr>
                <w:color w:val="000000"/>
                <w:sz w:val="20"/>
                <w:szCs w:val="20"/>
              </w:rPr>
            </w:pPr>
          </w:p>
        </w:tc>
        <w:tc>
          <w:tcPr>
            <w:tcW w:w="11335" w:type="dxa"/>
            <w:tcBorders>
              <w:top w:val="nil"/>
              <w:left w:val="nil"/>
              <w:bottom w:val="nil"/>
              <w:right w:val="nil"/>
            </w:tcBorders>
            <w:shd w:val="clear" w:color="000000" w:fill="FFFFFF"/>
            <w:noWrap/>
            <w:vAlign w:val="bottom"/>
            <w:hideMark/>
          </w:tcPr>
          <w:p w14:paraId="3A748E7A" w14:textId="77777777" w:rsidR="006B6EEE" w:rsidRPr="00DE4F22" w:rsidRDefault="006B6EEE" w:rsidP="00D36322">
            <w:pPr>
              <w:rPr>
                <w:color w:val="000000"/>
                <w:sz w:val="20"/>
                <w:szCs w:val="20"/>
              </w:rPr>
            </w:pPr>
            <w:r w:rsidRPr="00DE4F22">
              <w:rPr>
                <w:color w:val="000000"/>
                <w:sz w:val="20"/>
                <w:szCs w:val="20"/>
              </w:rPr>
              <w:t> </w:t>
            </w:r>
          </w:p>
        </w:tc>
        <w:tc>
          <w:tcPr>
            <w:tcW w:w="1461" w:type="dxa"/>
            <w:tcBorders>
              <w:top w:val="nil"/>
              <w:left w:val="nil"/>
              <w:bottom w:val="nil"/>
              <w:right w:val="double" w:sz="6" w:space="0" w:color="auto"/>
            </w:tcBorders>
            <w:shd w:val="clear" w:color="000000" w:fill="FFFFFF"/>
            <w:noWrap/>
            <w:vAlign w:val="bottom"/>
            <w:hideMark/>
          </w:tcPr>
          <w:p w14:paraId="248AAF2C" w14:textId="77777777" w:rsidR="006B6EEE" w:rsidRPr="00DE4F22" w:rsidRDefault="006B6EEE" w:rsidP="00D36322">
            <w:pPr>
              <w:rPr>
                <w:color w:val="000000"/>
                <w:sz w:val="20"/>
                <w:szCs w:val="20"/>
              </w:rPr>
            </w:pPr>
            <w:r w:rsidRPr="00DE4F22">
              <w:rPr>
                <w:color w:val="000000"/>
                <w:sz w:val="20"/>
                <w:szCs w:val="20"/>
              </w:rPr>
              <w:t> </w:t>
            </w:r>
          </w:p>
        </w:tc>
      </w:tr>
      <w:tr w:rsidR="006B6EEE" w:rsidRPr="00DE4F22" w14:paraId="243E7BF4" w14:textId="77777777" w:rsidTr="00D36322">
        <w:trPr>
          <w:trHeight w:val="310"/>
        </w:trPr>
        <w:tc>
          <w:tcPr>
            <w:tcW w:w="1116" w:type="dxa"/>
            <w:tcBorders>
              <w:top w:val="single" w:sz="4" w:space="0" w:color="auto"/>
              <w:left w:val="double" w:sz="6" w:space="0" w:color="auto"/>
              <w:bottom w:val="single" w:sz="4" w:space="0" w:color="auto"/>
              <w:right w:val="single" w:sz="4" w:space="0" w:color="auto"/>
            </w:tcBorders>
            <w:shd w:val="clear" w:color="000000" w:fill="BFBFBF"/>
            <w:noWrap/>
            <w:vAlign w:val="center"/>
            <w:hideMark/>
          </w:tcPr>
          <w:p w14:paraId="734AC72F" w14:textId="77777777" w:rsidR="006B6EEE" w:rsidRPr="00DE4F22" w:rsidRDefault="006B6EEE" w:rsidP="00D36322">
            <w:pPr>
              <w:jc w:val="center"/>
              <w:rPr>
                <w:b/>
                <w:bCs/>
                <w:color w:val="000000"/>
                <w:sz w:val="20"/>
                <w:szCs w:val="20"/>
              </w:rPr>
            </w:pPr>
            <w:r w:rsidRPr="00DE4F22">
              <w:rPr>
                <w:b/>
                <w:bCs/>
                <w:color w:val="000000"/>
                <w:sz w:val="20"/>
                <w:szCs w:val="20"/>
              </w:rPr>
              <w:lastRenderedPageBreak/>
              <w:t>Redni broj</w:t>
            </w:r>
          </w:p>
        </w:tc>
        <w:tc>
          <w:tcPr>
            <w:tcW w:w="11335" w:type="dxa"/>
            <w:tcBorders>
              <w:top w:val="single" w:sz="4" w:space="0" w:color="auto"/>
              <w:left w:val="nil"/>
              <w:bottom w:val="single" w:sz="4" w:space="0" w:color="auto"/>
              <w:right w:val="single" w:sz="4" w:space="0" w:color="auto"/>
            </w:tcBorders>
            <w:shd w:val="clear" w:color="000000" w:fill="BFBFBF"/>
            <w:noWrap/>
            <w:vAlign w:val="center"/>
            <w:hideMark/>
          </w:tcPr>
          <w:p w14:paraId="16C84426" w14:textId="32BAA5B6" w:rsidR="006B6EEE" w:rsidRPr="00DE4F22" w:rsidRDefault="006B6EEE" w:rsidP="00D36322">
            <w:pPr>
              <w:jc w:val="center"/>
              <w:rPr>
                <w:b/>
                <w:bCs/>
                <w:color w:val="000000"/>
                <w:sz w:val="20"/>
                <w:szCs w:val="20"/>
              </w:rPr>
            </w:pPr>
            <w:r w:rsidRPr="00DE4F22">
              <w:rPr>
                <w:b/>
                <w:bCs/>
                <w:color w:val="000000"/>
                <w:sz w:val="20"/>
                <w:szCs w:val="20"/>
              </w:rPr>
              <w:t>Naziv projekta (</w:t>
            </w:r>
            <w:r w:rsidR="009878CA" w:rsidRPr="00DE4F22">
              <w:rPr>
                <w:b/>
                <w:bCs/>
                <w:color w:val="000000"/>
                <w:sz w:val="20"/>
                <w:szCs w:val="20"/>
              </w:rPr>
              <w:t>Međunarodna služba)</w:t>
            </w:r>
          </w:p>
        </w:tc>
        <w:tc>
          <w:tcPr>
            <w:tcW w:w="1461" w:type="dxa"/>
            <w:tcBorders>
              <w:top w:val="single" w:sz="4" w:space="0" w:color="auto"/>
              <w:left w:val="nil"/>
              <w:bottom w:val="single" w:sz="4" w:space="0" w:color="auto"/>
              <w:right w:val="double" w:sz="6" w:space="0" w:color="auto"/>
            </w:tcBorders>
            <w:shd w:val="clear" w:color="000000" w:fill="BFBFBF"/>
            <w:noWrap/>
            <w:vAlign w:val="bottom"/>
            <w:hideMark/>
          </w:tcPr>
          <w:p w14:paraId="1BEB12D7" w14:textId="77777777" w:rsidR="006B6EEE" w:rsidRPr="00DE4F22" w:rsidRDefault="006B6EEE" w:rsidP="00D36322">
            <w:pPr>
              <w:rPr>
                <w:b/>
                <w:bCs/>
                <w:color w:val="000000"/>
                <w:sz w:val="20"/>
                <w:szCs w:val="20"/>
              </w:rPr>
            </w:pPr>
            <w:r w:rsidRPr="00DE4F22">
              <w:rPr>
                <w:b/>
                <w:bCs/>
                <w:color w:val="000000"/>
                <w:sz w:val="20"/>
                <w:szCs w:val="20"/>
              </w:rPr>
              <w:t>Budžet projekta</w:t>
            </w:r>
          </w:p>
        </w:tc>
      </w:tr>
      <w:tr w:rsidR="006B6EEE" w:rsidRPr="00DE4F22" w14:paraId="0128C2B6" w14:textId="77777777" w:rsidTr="00D36322">
        <w:trPr>
          <w:trHeight w:val="930"/>
        </w:trPr>
        <w:tc>
          <w:tcPr>
            <w:tcW w:w="1116" w:type="dxa"/>
            <w:tcBorders>
              <w:top w:val="nil"/>
              <w:left w:val="double" w:sz="6" w:space="0" w:color="auto"/>
              <w:bottom w:val="single" w:sz="4" w:space="0" w:color="auto"/>
              <w:right w:val="single" w:sz="4" w:space="0" w:color="auto"/>
            </w:tcBorders>
            <w:noWrap/>
            <w:vAlign w:val="center"/>
            <w:hideMark/>
          </w:tcPr>
          <w:p w14:paraId="0C25FBD0" w14:textId="77777777" w:rsidR="006B6EEE" w:rsidRPr="00DE4F22" w:rsidRDefault="006B6EEE" w:rsidP="00D36322">
            <w:pPr>
              <w:jc w:val="center"/>
              <w:rPr>
                <w:b/>
                <w:bCs/>
                <w:i/>
                <w:iCs/>
                <w:color w:val="000000"/>
                <w:sz w:val="20"/>
                <w:szCs w:val="20"/>
              </w:rPr>
            </w:pPr>
            <w:r w:rsidRPr="00DE4F22">
              <w:rPr>
                <w:b/>
                <w:bCs/>
                <w:i/>
                <w:iCs/>
                <w:color w:val="000000"/>
                <w:sz w:val="20"/>
                <w:szCs w:val="20"/>
              </w:rPr>
              <w:t>1</w:t>
            </w:r>
          </w:p>
        </w:tc>
        <w:tc>
          <w:tcPr>
            <w:tcW w:w="11335" w:type="dxa"/>
            <w:tcBorders>
              <w:top w:val="nil"/>
              <w:left w:val="nil"/>
              <w:bottom w:val="single" w:sz="4" w:space="0" w:color="auto"/>
              <w:right w:val="single" w:sz="4" w:space="0" w:color="auto"/>
            </w:tcBorders>
            <w:noWrap/>
            <w:vAlign w:val="center"/>
            <w:hideMark/>
          </w:tcPr>
          <w:p w14:paraId="283A0892" w14:textId="01EE632D" w:rsidR="006B6EEE" w:rsidRPr="00DE4F22" w:rsidRDefault="006B6EEE" w:rsidP="00D36322">
            <w:pPr>
              <w:jc w:val="both"/>
              <w:rPr>
                <w:b/>
                <w:bCs/>
                <w:i/>
                <w:iCs/>
                <w:color w:val="000000"/>
                <w:sz w:val="20"/>
                <w:szCs w:val="20"/>
              </w:rPr>
            </w:pPr>
            <w:r w:rsidRPr="00DE4F22">
              <w:rPr>
                <w:b/>
                <w:bCs/>
                <w:i/>
                <w:iCs/>
                <w:color w:val="000000"/>
                <w:sz w:val="20"/>
                <w:szCs w:val="20"/>
              </w:rPr>
              <w:t>Grant ZKF (Improving capacities of the National Focal Point in Montenegro for the engagement with the GCF and strengthening of the country's strategic project pipeline to support the implementation of the updated Nationally Determined Contribution (NDC 2))</w:t>
            </w:r>
            <w:r w:rsidR="00F26556" w:rsidRPr="00DE4F22">
              <w:rPr>
                <w:b/>
                <w:bCs/>
                <w:i/>
                <w:iCs/>
                <w:color w:val="000000"/>
                <w:sz w:val="20"/>
                <w:szCs w:val="20"/>
              </w:rPr>
              <w:t>-grant</w:t>
            </w:r>
          </w:p>
        </w:tc>
        <w:tc>
          <w:tcPr>
            <w:tcW w:w="1461" w:type="dxa"/>
            <w:tcBorders>
              <w:top w:val="nil"/>
              <w:left w:val="nil"/>
              <w:bottom w:val="single" w:sz="4" w:space="0" w:color="auto"/>
              <w:right w:val="double" w:sz="6" w:space="0" w:color="auto"/>
            </w:tcBorders>
            <w:noWrap/>
            <w:vAlign w:val="bottom"/>
            <w:hideMark/>
          </w:tcPr>
          <w:p w14:paraId="556790BF" w14:textId="3FBD691C" w:rsidR="006B6EEE" w:rsidRPr="00DE4F22" w:rsidRDefault="006B6EEE" w:rsidP="00D36322">
            <w:pPr>
              <w:rPr>
                <w:color w:val="000000"/>
                <w:sz w:val="20"/>
                <w:szCs w:val="20"/>
              </w:rPr>
            </w:pPr>
            <w:r w:rsidRPr="00DE4F22">
              <w:rPr>
                <w:color w:val="000000"/>
                <w:sz w:val="20"/>
                <w:szCs w:val="20"/>
              </w:rPr>
              <w:t xml:space="preserve">             </w:t>
            </w:r>
            <w:r w:rsidR="006F7279">
              <w:rPr>
                <w:color w:val="000000"/>
                <w:sz w:val="20"/>
                <w:szCs w:val="20"/>
              </w:rPr>
              <w:t>110</w:t>
            </w:r>
            <w:r w:rsidR="00E21909" w:rsidRPr="00DE4F22">
              <w:rPr>
                <w:color w:val="000000"/>
                <w:sz w:val="20"/>
                <w:szCs w:val="20"/>
              </w:rPr>
              <w:t>.</w:t>
            </w:r>
            <w:r w:rsidR="006F7279">
              <w:rPr>
                <w:color w:val="000000"/>
                <w:sz w:val="20"/>
                <w:szCs w:val="20"/>
              </w:rPr>
              <w:t>000</w:t>
            </w:r>
            <w:r w:rsidR="00E21909" w:rsidRPr="00DE4F22">
              <w:rPr>
                <w:color w:val="000000"/>
                <w:sz w:val="20"/>
                <w:szCs w:val="20"/>
              </w:rPr>
              <w:t>,</w:t>
            </w:r>
            <w:r w:rsidR="006F7279">
              <w:rPr>
                <w:color w:val="000000"/>
                <w:sz w:val="20"/>
                <w:szCs w:val="20"/>
              </w:rPr>
              <w:t>00</w:t>
            </w:r>
          </w:p>
        </w:tc>
      </w:tr>
      <w:tr w:rsidR="00DD20EE" w:rsidRPr="00DE4F22" w14:paraId="50E712C8" w14:textId="77777777" w:rsidTr="00D36322">
        <w:trPr>
          <w:trHeight w:val="930"/>
        </w:trPr>
        <w:tc>
          <w:tcPr>
            <w:tcW w:w="1116" w:type="dxa"/>
            <w:tcBorders>
              <w:top w:val="nil"/>
              <w:left w:val="double" w:sz="6" w:space="0" w:color="auto"/>
              <w:bottom w:val="single" w:sz="4" w:space="0" w:color="auto"/>
              <w:right w:val="single" w:sz="4" w:space="0" w:color="auto"/>
            </w:tcBorders>
            <w:noWrap/>
            <w:vAlign w:val="center"/>
          </w:tcPr>
          <w:p w14:paraId="78763570" w14:textId="4BC866AF" w:rsidR="00DD20EE" w:rsidRPr="00DE4F22" w:rsidRDefault="00DD20EE" w:rsidP="00D36322">
            <w:pPr>
              <w:jc w:val="center"/>
              <w:rPr>
                <w:b/>
                <w:bCs/>
                <w:i/>
                <w:iCs/>
                <w:color w:val="000000"/>
                <w:sz w:val="20"/>
                <w:szCs w:val="20"/>
              </w:rPr>
            </w:pPr>
            <w:r w:rsidRPr="00DE4F22">
              <w:rPr>
                <w:b/>
                <w:bCs/>
                <w:i/>
                <w:iCs/>
                <w:color w:val="000000"/>
                <w:sz w:val="20"/>
                <w:szCs w:val="20"/>
              </w:rPr>
              <w:t>2</w:t>
            </w:r>
          </w:p>
        </w:tc>
        <w:tc>
          <w:tcPr>
            <w:tcW w:w="11335" w:type="dxa"/>
            <w:tcBorders>
              <w:top w:val="nil"/>
              <w:left w:val="nil"/>
              <w:bottom w:val="single" w:sz="4" w:space="0" w:color="auto"/>
              <w:right w:val="single" w:sz="4" w:space="0" w:color="auto"/>
            </w:tcBorders>
            <w:noWrap/>
            <w:vAlign w:val="center"/>
          </w:tcPr>
          <w:p w14:paraId="69ECF80E" w14:textId="4C328B4E" w:rsidR="00DD20EE" w:rsidRPr="00DE4F22" w:rsidRDefault="00D2763A" w:rsidP="00D36322">
            <w:pPr>
              <w:jc w:val="both"/>
              <w:rPr>
                <w:b/>
                <w:bCs/>
                <w:i/>
                <w:iCs/>
                <w:color w:val="000000"/>
                <w:sz w:val="20"/>
                <w:szCs w:val="20"/>
              </w:rPr>
            </w:pPr>
            <w:r w:rsidRPr="00D2763A">
              <w:rPr>
                <w:b/>
                <w:bCs/>
                <w:i/>
                <w:iCs/>
                <w:color w:val="000000"/>
                <w:sz w:val="20"/>
                <w:szCs w:val="20"/>
                <w:lang w:val="bs-Latn-BA"/>
              </w:rPr>
              <w:t xml:space="preserve">Saradnja Javnog Fonda za zaštitu životne sredine Republike Slovenije i Eko-fonda </w:t>
            </w:r>
          </w:p>
        </w:tc>
        <w:tc>
          <w:tcPr>
            <w:tcW w:w="1461" w:type="dxa"/>
            <w:tcBorders>
              <w:top w:val="nil"/>
              <w:left w:val="nil"/>
              <w:bottom w:val="single" w:sz="4" w:space="0" w:color="auto"/>
              <w:right w:val="double" w:sz="6" w:space="0" w:color="auto"/>
            </w:tcBorders>
            <w:noWrap/>
            <w:vAlign w:val="bottom"/>
          </w:tcPr>
          <w:p w14:paraId="42F5205B" w14:textId="32B8C0F3" w:rsidR="00DD20EE" w:rsidRPr="00DE4F22" w:rsidRDefault="00DD20EE" w:rsidP="00D36322">
            <w:pPr>
              <w:rPr>
                <w:color w:val="000000"/>
                <w:sz w:val="20"/>
                <w:szCs w:val="20"/>
              </w:rPr>
            </w:pPr>
            <w:r w:rsidRPr="00DE4F22">
              <w:rPr>
                <w:color w:val="000000"/>
                <w:sz w:val="20"/>
                <w:szCs w:val="20"/>
              </w:rPr>
              <w:t>1.</w:t>
            </w:r>
            <w:r w:rsidR="006F7279">
              <w:rPr>
                <w:color w:val="000000"/>
                <w:sz w:val="20"/>
                <w:szCs w:val="20"/>
              </w:rPr>
              <w:t>0</w:t>
            </w:r>
            <w:r w:rsidRPr="00DE4F22">
              <w:rPr>
                <w:color w:val="000000"/>
                <w:sz w:val="20"/>
                <w:szCs w:val="20"/>
              </w:rPr>
              <w:t>00.000,00</w:t>
            </w:r>
          </w:p>
        </w:tc>
      </w:tr>
      <w:tr w:rsidR="00052417" w:rsidRPr="00DE4F22" w14:paraId="6852472D" w14:textId="77777777" w:rsidTr="00D36322">
        <w:trPr>
          <w:trHeight w:val="930"/>
        </w:trPr>
        <w:tc>
          <w:tcPr>
            <w:tcW w:w="1116" w:type="dxa"/>
            <w:tcBorders>
              <w:top w:val="nil"/>
              <w:left w:val="double" w:sz="6" w:space="0" w:color="auto"/>
              <w:bottom w:val="single" w:sz="4" w:space="0" w:color="auto"/>
              <w:right w:val="single" w:sz="4" w:space="0" w:color="auto"/>
            </w:tcBorders>
            <w:noWrap/>
            <w:vAlign w:val="center"/>
          </w:tcPr>
          <w:p w14:paraId="035DBF92" w14:textId="70A50E05" w:rsidR="00052417" w:rsidRPr="00DE4F22" w:rsidRDefault="00F569B6" w:rsidP="00D36322">
            <w:pPr>
              <w:jc w:val="center"/>
              <w:rPr>
                <w:b/>
                <w:bCs/>
                <w:i/>
                <w:iCs/>
                <w:color w:val="000000"/>
                <w:sz w:val="20"/>
                <w:szCs w:val="20"/>
              </w:rPr>
            </w:pPr>
            <w:r>
              <w:rPr>
                <w:b/>
                <w:bCs/>
                <w:i/>
                <w:iCs/>
                <w:color w:val="000000"/>
                <w:sz w:val="20"/>
                <w:szCs w:val="20"/>
              </w:rPr>
              <w:t>3</w:t>
            </w:r>
          </w:p>
        </w:tc>
        <w:tc>
          <w:tcPr>
            <w:tcW w:w="11335" w:type="dxa"/>
            <w:tcBorders>
              <w:top w:val="nil"/>
              <w:left w:val="nil"/>
              <w:bottom w:val="single" w:sz="4" w:space="0" w:color="auto"/>
              <w:right w:val="single" w:sz="4" w:space="0" w:color="auto"/>
            </w:tcBorders>
            <w:noWrap/>
            <w:vAlign w:val="center"/>
          </w:tcPr>
          <w:p w14:paraId="36054030" w14:textId="77777777" w:rsidR="00052417" w:rsidRPr="00DE4F22" w:rsidRDefault="00052417" w:rsidP="00D36322">
            <w:pPr>
              <w:jc w:val="both"/>
              <w:rPr>
                <w:b/>
                <w:bCs/>
                <w:i/>
                <w:iCs/>
                <w:color w:val="000000"/>
                <w:sz w:val="20"/>
                <w:szCs w:val="20"/>
              </w:rPr>
            </w:pPr>
            <w:r w:rsidRPr="00DE4F22">
              <w:rPr>
                <w:b/>
                <w:bCs/>
                <w:i/>
                <w:iCs/>
                <w:color w:val="000000"/>
                <w:sz w:val="20"/>
                <w:szCs w:val="20"/>
              </w:rPr>
              <w:t>Danube Region Programme</w:t>
            </w:r>
          </w:p>
          <w:p w14:paraId="3E8B0574" w14:textId="027C345B" w:rsidR="00052417" w:rsidRPr="00DE4F22" w:rsidRDefault="00052417" w:rsidP="00D36322">
            <w:pPr>
              <w:jc w:val="both"/>
              <w:rPr>
                <w:b/>
                <w:bCs/>
                <w:i/>
                <w:iCs/>
                <w:color w:val="000000"/>
                <w:sz w:val="20"/>
                <w:szCs w:val="20"/>
              </w:rPr>
            </w:pPr>
            <w:r w:rsidRPr="00DE4F22">
              <w:rPr>
                <w:b/>
                <w:bCs/>
                <w:i/>
                <w:iCs/>
                <w:color w:val="000000"/>
                <w:sz w:val="20"/>
                <w:szCs w:val="20"/>
              </w:rPr>
              <w:t>ESINERGY</w:t>
            </w:r>
          </w:p>
        </w:tc>
        <w:tc>
          <w:tcPr>
            <w:tcW w:w="1461" w:type="dxa"/>
            <w:tcBorders>
              <w:top w:val="nil"/>
              <w:left w:val="nil"/>
              <w:bottom w:val="single" w:sz="4" w:space="0" w:color="auto"/>
              <w:right w:val="double" w:sz="6" w:space="0" w:color="auto"/>
            </w:tcBorders>
            <w:noWrap/>
            <w:vAlign w:val="bottom"/>
          </w:tcPr>
          <w:p w14:paraId="765CFC91" w14:textId="08596791" w:rsidR="00052417" w:rsidRPr="00DE4F22" w:rsidRDefault="007307BA" w:rsidP="00CF2533">
            <w:pPr>
              <w:rPr>
                <w:color w:val="000000"/>
                <w:sz w:val="20"/>
                <w:szCs w:val="20"/>
              </w:rPr>
            </w:pPr>
            <w:r>
              <w:rPr>
                <w:color w:val="000000"/>
                <w:sz w:val="20"/>
                <w:szCs w:val="20"/>
              </w:rPr>
              <w:t>57.430,00</w:t>
            </w:r>
          </w:p>
        </w:tc>
      </w:tr>
      <w:tr w:rsidR="00F569B6" w:rsidRPr="00DE4F22" w14:paraId="57003923" w14:textId="77777777" w:rsidTr="006D5D8A">
        <w:trPr>
          <w:trHeight w:val="930"/>
        </w:trPr>
        <w:tc>
          <w:tcPr>
            <w:tcW w:w="1116" w:type="dxa"/>
            <w:tcBorders>
              <w:top w:val="nil"/>
              <w:left w:val="double" w:sz="6" w:space="0" w:color="auto"/>
              <w:bottom w:val="single" w:sz="4" w:space="0" w:color="auto"/>
              <w:right w:val="single" w:sz="4" w:space="0" w:color="auto"/>
            </w:tcBorders>
            <w:noWrap/>
          </w:tcPr>
          <w:p w14:paraId="11847FAF" w14:textId="7919F879" w:rsidR="00F569B6" w:rsidRPr="00DE4F22" w:rsidRDefault="00F569B6" w:rsidP="00F569B6">
            <w:pPr>
              <w:jc w:val="center"/>
              <w:rPr>
                <w:b/>
                <w:bCs/>
                <w:i/>
                <w:iCs/>
                <w:color w:val="000000"/>
                <w:sz w:val="20"/>
                <w:szCs w:val="20"/>
              </w:rPr>
            </w:pPr>
            <w:r>
              <w:t>4</w:t>
            </w:r>
          </w:p>
        </w:tc>
        <w:tc>
          <w:tcPr>
            <w:tcW w:w="11335" w:type="dxa"/>
            <w:tcBorders>
              <w:top w:val="nil"/>
              <w:left w:val="nil"/>
              <w:bottom w:val="single" w:sz="4" w:space="0" w:color="auto"/>
              <w:right w:val="single" w:sz="4" w:space="0" w:color="auto"/>
            </w:tcBorders>
            <w:noWrap/>
          </w:tcPr>
          <w:p w14:paraId="2323045D" w14:textId="779C70D4" w:rsidR="00F569B6" w:rsidRPr="00F569B6" w:rsidRDefault="00C70A22" w:rsidP="00F569B6">
            <w:pPr>
              <w:jc w:val="both"/>
              <w:rPr>
                <w:b/>
                <w:bCs/>
                <w:i/>
                <w:iCs/>
                <w:color w:val="000000"/>
                <w:sz w:val="20"/>
                <w:szCs w:val="20"/>
              </w:rPr>
            </w:pPr>
            <w:r w:rsidRPr="00C70A22">
              <w:rPr>
                <w:b/>
                <w:bCs/>
                <w:i/>
                <w:iCs/>
                <w:sz w:val="20"/>
                <w:szCs w:val="20"/>
              </w:rPr>
              <w:t>Finansiranje izrade projektne dokumentacije za realizaciju infrastrukturnih projekata</w:t>
            </w:r>
          </w:p>
        </w:tc>
        <w:tc>
          <w:tcPr>
            <w:tcW w:w="1461" w:type="dxa"/>
            <w:tcBorders>
              <w:top w:val="nil"/>
              <w:left w:val="nil"/>
              <w:bottom w:val="single" w:sz="4" w:space="0" w:color="auto"/>
              <w:right w:val="double" w:sz="6" w:space="0" w:color="auto"/>
            </w:tcBorders>
            <w:noWrap/>
            <w:vAlign w:val="bottom"/>
          </w:tcPr>
          <w:p w14:paraId="116B2893" w14:textId="49A3AC03" w:rsidR="00F569B6" w:rsidRDefault="00F569B6" w:rsidP="00F569B6">
            <w:pPr>
              <w:rPr>
                <w:color w:val="000000"/>
                <w:sz w:val="20"/>
                <w:szCs w:val="20"/>
              </w:rPr>
            </w:pPr>
            <w:r w:rsidRPr="00F569B6">
              <w:rPr>
                <w:color w:val="000000"/>
                <w:sz w:val="20"/>
                <w:szCs w:val="20"/>
              </w:rPr>
              <w:t>500.000,00</w:t>
            </w:r>
          </w:p>
        </w:tc>
      </w:tr>
      <w:tr w:rsidR="006B6EEE" w:rsidRPr="00DE4F22" w14:paraId="2D0D4398" w14:textId="77777777" w:rsidTr="00D36322">
        <w:trPr>
          <w:trHeight w:val="320"/>
        </w:trPr>
        <w:tc>
          <w:tcPr>
            <w:tcW w:w="12451" w:type="dxa"/>
            <w:gridSpan w:val="2"/>
            <w:tcBorders>
              <w:top w:val="single" w:sz="4" w:space="0" w:color="auto"/>
              <w:left w:val="double" w:sz="6" w:space="0" w:color="auto"/>
              <w:bottom w:val="double" w:sz="6" w:space="0" w:color="auto"/>
              <w:right w:val="single" w:sz="4" w:space="0" w:color="000000"/>
            </w:tcBorders>
            <w:shd w:val="clear" w:color="000000" w:fill="BFBFBF"/>
            <w:noWrap/>
            <w:vAlign w:val="center"/>
            <w:hideMark/>
          </w:tcPr>
          <w:p w14:paraId="13C272FF" w14:textId="6A85F69E" w:rsidR="006B6EEE" w:rsidRPr="00DE4F22" w:rsidRDefault="00DE4F22" w:rsidP="00D36322">
            <w:pPr>
              <w:jc w:val="center"/>
              <w:rPr>
                <w:b/>
                <w:bCs/>
                <w:i/>
                <w:iCs/>
                <w:color w:val="000000"/>
                <w:sz w:val="20"/>
                <w:szCs w:val="20"/>
              </w:rPr>
            </w:pPr>
            <w:r>
              <w:rPr>
                <w:b/>
                <w:bCs/>
                <w:i/>
                <w:iCs/>
                <w:color w:val="000000"/>
                <w:sz w:val="20"/>
                <w:szCs w:val="20"/>
              </w:rPr>
              <w:t>UKUPNO</w:t>
            </w:r>
          </w:p>
        </w:tc>
        <w:tc>
          <w:tcPr>
            <w:tcW w:w="1461" w:type="dxa"/>
            <w:tcBorders>
              <w:top w:val="nil"/>
              <w:left w:val="nil"/>
              <w:bottom w:val="double" w:sz="6" w:space="0" w:color="auto"/>
              <w:right w:val="double" w:sz="6" w:space="0" w:color="auto"/>
            </w:tcBorders>
            <w:shd w:val="clear" w:color="000000" w:fill="BFBFBF"/>
            <w:noWrap/>
            <w:vAlign w:val="bottom"/>
            <w:hideMark/>
          </w:tcPr>
          <w:p w14:paraId="25C260EE" w14:textId="4AEE4E42" w:rsidR="006B6EEE" w:rsidRPr="00DE4F22" w:rsidRDefault="006B6EEE" w:rsidP="00D36322">
            <w:pPr>
              <w:rPr>
                <w:b/>
                <w:bCs/>
                <w:color w:val="000000"/>
                <w:sz w:val="20"/>
                <w:szCs w:val="20"/>
              </w:rPr>
            </w:pPr>
            <w:r w:rsidRPr="00DE4F22">
              <w:rPr>
                <w:b/>
                <w:bCs/>
                <w:color w:val="000000"/>
                <w:sz w:val="20"/>
                <w:szCs w:val="20"/>
              </w:rPr>
              <w:t xml:space="preserve">             </w:t>
            </w:r>
            <w:r w:rsidR="007307BA">
              <w:rPr>
                <w:b/>
                <w:bCs/>
                <w:color w:val="000000"/>
                <w:sz w:val="20"/>
                <w:szCs w:val="20"/>
              </w:rPr>
              <w:t>1</w:t>
            </w:r>
            <w:r w:rsidR="00D36322" w:rsidRPr="00DE4F22">
              <w:rPr>
                <w:b/>
                <w:bCs/>
                <w:color w:val="000000"/>
                <w:sz w:val="20"/>
                <w:szCs w:val="20"/>
              </w:rPr>
              <w:t>.</w:t>
            </w:r>
            <w:r w:rsidR="007307BA">
              <w:rPr>
                <w:b/>
                <w:bCs/>
                <w:color w:val="000000"/>
                <w:sz w:val="20"/>
                <w:szCs w:val="20"/>
              </w:rPr>
              <w:t>167</w:t>
            </w:r>
            <w:r w:rsidR="00D36322" w:rsidRPr="00DE4F22">
              <w:rPr>
                <w:b/>
                <w:bCs/>
                <w:color w:val="000000"/>
                <w:sz w:val="20"/>
                <w:szCs w:val="20"/>
              </w:rPr>
              <w:t>.</w:t>
            </w:r>
            <w:r w:rsidR="007307BA">
              <w:rPr>
                <w:b/>
                <w:bCs/>
                <w:color w:val="000000"/>
                <w:sz w:val="20"/>
                <w:szCs w:val="20"/>
              </w:rPr>
              <w:t>430</w:t>
            </w:r>
            <w:r w:rsidR="00D36322" w:rsidRPr="00DE4F22">
              <w:rPr>
                <w:b/>
                <w:bCs/>
                <w:color w:val="000000"/>
                <w:sz w:val="20"/>
                <w:szCs w:val="20"/>
              </w:rPr>
              <w:t>,</w:t>
            </w:r>
            <w:r w:rsidR="007307BA">
              <w:rPr>
                <w:b/>
                <w:bCs/>
                <w:color w:val="000000"/>
                <w:sz w:val="20"/>
                <w:szCs w:val="20"/>
              </w:rPr>
              <w:t>00</w:t>
            </w:r>
          </w:p>
        </w:tc>
      </w:tr>
    </w:tbl>
    <w:p w14:paraId="09B181F3" w14:textId="7BC704C9" w:rsidR="006B6EEE" w:rsidRPr="00DE4F22" w:rsidRDefault="006B6EEE" w:rsidP="00CE0E99">
      <w:pPr>
        <w:sectPr w:rsidR="006B6EEE" w:rsidRPr="00DE4F22" w:rsidSect="00E71E0E">
          <w:type w:val="continuous"/>
          <w:pgSz w:w="16838" w:h="11906" w:orient="landscape"/>
          <w:pgMar w:top="1440" w:right="851" w:bottom="1440" w:left="1440" w:header="284" w:footer="567" w:gutter="0"/>
          <w:cols w:space="720"/>
          <w:titlePg/>
        </w:sectPr>
      </w:pPr>
    </w:p>
    <w:p w14:paraId="723DD483" w14:textId="77777777" w:rsidR="00CE7943" w:rsidRPr="00DE4F22" w:rsidRDefault="00CE7943" w:rsidP="00CE0E99">
      <w:pPr>
        <w:rPr>
          <w:rFonts w:eastAsia="Georgia"/>
          <w:b/>
          <w:color w:val="000000"/>
        </w:rPr>
      </w:pPr>
    </w:p>
    <w:p w14:paraId="00718CFD" w14:textId="77777777" w:rsidR="00695808" w:rsidRPr="00DE4F22" w:rsidRDefault="009C2EB0" w:rsidP="00523B35">
      <w:pPr>
        <w:pStyle w:val="ListParagraph"/>
        <w:numPr>
          <w:ilvl w:val="1"/>
          <w:numId w:val="32"/>
        </w:numPr>
        <w:rPr>
          <w:rFonts w:ascii="Times New Roman" w:eastAsia="Georgia" w:hAnsi="Times New Roman" w:cs="Times New Roman"/>
          <w:b/>
          <w:color w:val="000000"/>
          <w:sz w:val="24"/>
          <w:szCs w:val="32"/>
          <w:lang w:val="sr-Latn-ME"/>
        </w:rPr>
      </w:pPr>
      <w:r w:rsidRPr="00DE4F22">
        <w:rPr>
          <w:rFonts w:ascii="Times New Roman" w:eastAsia="Georgia" w:hAnsi="Times New Roman" w:cs="Times New Roman"/>
          <w:b/>
          <w:color w:val="000000"/>
          <w:sz w:val="24"/>
          <w:szCs w:val="32"/>
          <w:lang w:val="sr-Latn-ME"/>
        </w:rPr>
        <w:t xml:space="preserve">Nematerijalni troškovi </w:t>
      </w:r>
    </w:p>
    <w:p w14:paraId="1F3A6469" w14:textId="7B279ECE" w:rsidR="009755DC" w:rsidRPr="00DE4F22" w:rsidRDefault="009C2EB0">
      <w:pPr>
        <w:jc w:val="both"/>
        <w:rPr>
          <w:rFonts w:eastAsia="Georgia"/>
          <w:color w:val="000000"/>
        </w:rPr>
      </w:pPr>
      <w:r w:rsidRPr="00DE4F22">
        <w:rPr>
          <w:rFonts w:eastAsia="Georgia"/>
          <w:color w:val="000000"/>
        </w:rPr>
        <w:t xml:space="preserve">Nematerijalni troškovi planirani su </w:t>
      </w:r>
      <w:r w:rsidR="00E11E15" w:rsidRPr="00DE4F22">
        <w:rPr>
          <w:rFonts w:eastAsia="Georgia"/>
          <w:color w:val="000000"/>
        </w:rPr>
        <w:t xml:space="preserve">ukupnom iznosu od </w:t>
      </w:r>
      <w:r w:rsidR="006C3642" w:rsidRPr="00DE4F22">
        <w:rPr>
          <w:rFonts w:eastAsia="Georgia"/>
          <w:b/>
          <w:bCs/>
          <w:color w:val="000000"/>
        </w:rPr>
        <w:t>1</w:t>
      </w:r>
      <w:r w:rsidR="00CF2533">
        <w:rPr>
          <w:rFonts w:eastAsia="Georgia"/>
          <w:b/>
          <w:bCs/>
          <w:color w:val="000000"/>
        </w:rPr>
        <w:t>69</w:t>
      </w:r>
      <w:r w:rsidR="007018F5" w:rsidRPr="00DE4F22">
        <w:rPr>
          <w:rFonts w:eastAsia="Georgia"/>
          <w:b/>
          <w:bCs/>
          <w:color w:val="000000"/>
        </w:rPr>
        <w:t>.</w:t>
      </w:r>
      <w:r w:rsidR="00CF2533">
        <w:rPr>
          <w:rFonts w:eastAsia="Georgia"/>
          <w:b/>
          <w:bCs/>
          <w:color w:val="000000"/>
        </w:rPr>
        <w:t>0</w:t>
      </w:r>
      <w:r w:rsidR="00BC3E7B" w:rsidRPr="00DE4F22">
        <w:rPr>
          <w:rFonts w:eastAsia="Georgia"/>
          <w:b/>
          <w:bCs/>
          <w:color w:val="000000"/>
        </w:rPr>
        <w:t>00</w:t>
      </w:r>
      <w:r w:rsidR="007018F5" w:rsidRPr="00DE4F22">
        <w:rPr>
          <w:rFonts w:eastAsia="Georgia"/>
          <w:b/>
          <w:bCs/>
          <w:color w:val="000000"/>
        </w:rPr>
        <w:t>,</w:t>
      </w:r>
      <w:r w:rsidR="00E11E15" w:rsidRPr="00DE4F22">
        <w:rPr>
          <w:rFonts w:eastAsia="Georgia"/>
          <w:b/>
          <w:bCs/>
          <w:color w:val="000000"/>
        </w:rPr>
        <w:t>00€</w:t>
      </w:r>
      <w:r w:rsidR="00E11E15" w:rsidRPr="00DE4F22">
        <w:rPr>
          <w:rFonts w:eastAsia="Georgia"/>
          <w:color w:val="000000"/>
        </w:rPr>
        <w:t xml:space="preserve"> i odnose se na:</w:t>
      </w:r>
    </w:p>
    <w:p w14:paraId="1E2AC0DA" w14:textId="36C36E50" w:rsidR="00E11E15" w:rsidRPr="00DE4F22" w:rsidRDefault="00E11E15" w:rsidP="006D7861">
      <w:pPr>
        <w:pStyle w:val="ListParagraph"/>
        <w:numPr>
          <w:ilvl w:val="2"/>
          <w:numId w:val="33"/>
        </w:numPr>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t>Troškovi neproizvodnih usluga</w:t>
      </w:r>
      <w:r w:rsidR="002731ED" w:rsidRPr="00DE4F22">
        <w:rPr>
          <w:rFonts w:ascii="Times New Roman" w:eastAsia="Georgia" w:hAnsi="Times New Roman" w:cs="Times New Roman"/>
          <w:color w:val="000000"/>
          <w:sz w:val="24"/>
          <w:lang w:val="sr-Latn-ME" w:eastAsia="en-GB"/>
        </w:rPr>
        <w:t xml:space="preserve">: </w:t>
      </w:r>
      <w:r w:rsidRPr="00DE4F22">
        <w:rPr>
          <w:rFonts w:ascii="Times New Roman" w:eastAsia="Georgia" w:hAnsi="Times New Roman" w:cs="Times New Roman"/>
          <w:color w:val="000000"/>
          <w:sz w:val="24"/>
          <w:lang w:val="sr-Latn-ME" w:eastAsia="en-GB"/>
        </w:rPr>
        <w:t>notarske, advokatske usluge, usluge revizije finansijskih iskaza, usluge angažovanja agencija za usluge</w:t>
      </w:r>
      <w:r w:rsidR="000074D9" w:rsidRPr="00DE4F22">
        <w:rPr>
          <w:rFonts w:ascii="Times New Roman" w:eastAsia="Georgia" w:hAnsi="Times New Roman" w:cs="Times New Roman"/>
          <w:color w:val="000000"/>
          <w:sz w:val="24"/>
          <w:lang w:val="sr-Latn-ME" w:eastAsia="en-GB"/>
        </w:rPr>
        <w:t xml:space="preserve"> marketing</w:t>
      </w:r>
      <w:r w:rsidR="00CF2533">
        <w:rPr>
          <w:rFonts w:ascii="Times New Roman" w:eastAsia="Georgia" w:hAnsi="Times New Roman" w:cs="Times New Roman"/>
          <w:color w:val="000000"/>
          <w:sz w:val="24"/>
          <w:lang w:val="sr-Latn-ME" w:eastAsia="en-GB"/>
        </w:rPr>
        <w:t>a</w:t>
      </w:r>
      <w:r w:rsidR="000074D9" w:rsidRPr="00DE4F22">
        <w:rPr>
          <w:rFonts w:ascii="Times New Roman" w:eastAsia="Georgia" w:hAnsi="Times New Roman" w:cs="Times New Roman"/>
          <w:color w:val="000000"/>
          <w:sz w:val="24"/>
          <w:lang w:val="sr-Latn-ME" w:eastAsia="en-GB"/>
        </w:rPr>
        <w:t xml:space="preserve"> i dizajna</w:t>
      </w:r>
      <w:r w:rsidR="00CF2533">
        <w:rPr>
          <w:rFonts w:ascii="Times New Roman" w:eastAsia="Georgia" w:hAnsi="Times New Roman" w:cs="Times New Roman"/>
          <w:color w:val="000000"/>
          <w:sz w:val="24"/>
          <w:lang w:val="sr-Latn-ME" w:eastAsia="en-GB"/>
        </w:rPr>
        <w:t xml:space="preserve"> i sl</w:t>
      </w:r>
      <w:r w:rsidR="000074D9" w:rsidRPr="00DE4F22">
        <w:rPr>
          <w:rFonts w:ascii="Times New Roman" w:eastAsia="Georgia" w:hAnsi="Times New Roman" w:cs="Times New Roman"/>
          <w:color w:val="000000"/>
          <w:sz w:val="24"/>
          <w:lang w:val="sr-Latn-ME" w:eastAsia="en-GB"/>
        </w:rPr>
        <w:t xml:space="preserve"> </w:t>
      </w:r>
      <w:r w:rsidRPr="00DE4F22">
        <w:rPr>
          <w:rFonts w:ascii="Times New Roman" w:eastAsia="Georgia" w:hAnsi="Times New Roman" w:cs="Times New Roman"/>
          <w:color w:val="000000"/>
          <w:sz w:val="24"/>
          <w:lang w:val="sr-Latn-ME" w:eastAsia="en-GB"/>
        </w:rPr>
        <w:t xml:space="preserve">u ukupnom iznosu od </w:t>
      </w:r>
      <w:r w:rsidR="004B5664" w:rsidRPr="00DE4F22">
        <w:rPr>
          <w:rFonts w:ascii="Times New Roman" w:eastAsia="Georgia" w:hAnsi="Times New Roman" w:cs="Times New Roman"/>
          <w:color w:val="000000"/>
          <w:sz w:val="24"/>
          <w:lang w:val="sr-Latn-ME" w:eastAsia="en-GB"/>
        </w:rPr>
        <w:t>75.</w:t>
      </w:r>
      <w:r w:rsidRPr="00DE4F22">
        <w:rPr>
          <w:rFonts w:ascii="Times New Roman" w:eastAsia="Georgia" w:hAnsi="Times New Roman" w:cs="Times New Roman"/>
          <w:color w:val="000000"/>
          <w:sz w:val="24"/>
          <w:lang w:val="sr-Latn-ME" w:eastAsia="en-GB"/>
        </w:rPr>
        <w:t>000,00€.</w:t>
      </w:r>
    </w:p>
    <w:p w14:paraId="69352CB8" w14:textId="715EC1F6" w:rsidR="00E11E15" w:rsidRPr="00DE4F22" w:rsidRDefault="004F4032" w:rsidP="00CE0E99">
      <w:pPr>
        <w:pStyle w:val="ListParagraph"/>
        <w:spacing w:before="0" w:after="0"/>
        <w:ind w:firstLine="0"/>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t>Po osnovu</w:t>
      </w:r>
      <w:r w:rsidR="00E11E15" w:rsidRPr="00DE4F22">
        <w:rPr>
          <w:rFonts w:ascii="Times New Roman" w:eastAsia="Georgia" w:hAnsi="Times New Roman" w:cs="Times New Roman"/>
          <w:color w:val="000000"/>
          <w:sz w:val="24"/>
          <w:lang w:val="sr-Latn-ME" w:eastAsia="en-GB"/>
        </w:rPr>
        <w:t xml:space="preserve"> Ugovor</w:t>
      </w:r>
      <w:r w:rsidRPr="00DE4F22">
        <w:rPr>
          <w:rFonts w:ascii="Times New Roman" w:eastAsia="Georgia" w:hAnsi="Times New Roman" w:cs="Times New Roman"/>
          <w:color w:val="000000"/>
          <w:sz w:val="24"/>
          <w:lang w:val="sr-Latn-ME" w:eastAsia="en-GB"/>
        </w:rPr>
        <w:t>a</w:t>
      </w:r>
      <w:r w:rsidR="00E11E15" w:rsidRPr="00DE4F22">
        <w:rPr>
          <w:rFonts w:ascii="Times New Roman" w:eastAsia="Georgia" w:hAnsi="Times New Roman" w:cs="Times New Roman"/>
          <w:color w:val="000000"/>
          <w:sz w:val="24"/>
          <w:lang w:val="sr-Latn-ME" w:eastAsia="en-GB"/>
        </w:rPr>
        <w:t xml:space="preserve"> o pružanju advokatskih usluga</w:t>
      </w:r>
      <w:r w:rsidR="00D357CC" w:rsidRPr="00DE4F22">
        <w:rPr>
          <w:rFonts w:ascii="Times New Roman" w:eastAsia="Georgia" w:hAnsi="Times New Roman" w:cs="Times New Roman"/>
          <w:color w:val="000000"/>
          <w:sz w:val="24"/>
          <w:lang w:val="sr-Latn-ME" w:eastAsia="en-GB"/>
        </w:rPr>
        <w:t xml:space="preserve"> </w:t>
      </w:r>
      <w:r w:rsidRPr="00DE4F22">
        <w:rPr>
          <w:rFonts w:ascii="Times New Roman" w:eastAsia="Georgia" w:hAnsi="Times New Roman" w:cs="Times New Roman"/>
          <w:color w:val="000000"/>
          <w:sz w:val="24"/>
          <w:lang w:val="sr-Latn-ME" w:eastAsia="en-GB"/>
        </w:rPr>
        <w:t>planiran je mjesečni iznos od 1.</w:t>
      </w:r>
      <w:r w:rsidR="00202012" w:rsidRPr="00DE4F22">
        <w:rPr>
          <w:rFonts w:ascii="Times New Roman" w:eastAsia="Georgia" w:hAnsi="Times New Roman" w:cs="Times New Roman"/>
          <w:color w:val="000000"/>
          <w:sz w:val="24"/>
          <w:lang w:val="sr-Latn-ME" w:eastAsia="en-GB"/>
        </w:rPr>
        <w:t>452</w:t>
      </w:r>
      <w:r w:rsidRPr="00DE4F22">
        <w:rPr>
          <w:rFonts w:ascii="Times New Roman" w:eastAsia="Georgia" w:hAnsi="Times New Roman" w:cs="Times New Roman"/>
          <w:color w:val="000000"/>
          <w:sz w:val="24"/>
          <w:lang w:val="sr-Latn-ME" w:eastAsia="en-GB"/>
        </w:rPr>
        <w:t>,00€, odnosno na godišnjem nivou iznos od 1</w:t>
      </w:r>
      <w:r w:rsidR="00202012" w:rsidRPr="00DE4F22">
        <w:rPr>
          <w:rFonts w:ascii="Times New Roman" w:eastAsia="Georgia" w:hAnsi="Times New Roman" w:cs="Times New Roman"/>
          <w:color w:val="000000"/>
          <w:sz w:val="24"/>
          <w:lang w:val="sr-Latn-ME" w:eastAsia="en-GB"/>
        </w:rPr>
        <w:t>7</w:t>
      </w:r>
      <w:r w:rsidRPr="00DE4F22">
        <w:rPr>
          <w:rFonts w:ascii="Times New Roman" w:eastAsia="Georgia" w:hAnsi="Times New Roman" w:cs="Times New Roman"/>
          <w:color w:val="000000"/>
          <w:sz w:val="24"/>
          <w:lang w:val="sr-Latn-ME" w:eastAsia="en-GB"/>
        </w:rPr>
        <w:t>.</w:t>
      </w:r>
      <w:r w:rsidR="00202012" w:rsidRPr="00DE4F22">
        <w:rPr>
          <w:rFonts w:ascii="Times New Roman" w:eastAsia="Georgia" w:hAnsi="Times New Roman" w:cs="Times New Roman"/>
          <w:color w:val="000000"/>
          <w:sz w:val="24"/>
          <w:lang w:val="sr-Latn-ME" w:eastAsia="en-GB"/>
        </w:rPr>
        <w:t>424</w:t>
      </w:r>
      <w:r w:rsidRPr="00DE4F22">
        <w:rPr>
          <w:rFonts w:ascii="Times New Roman" w:eastAsia="Georgia" w:hAnsi="Times New Roman" w:cs="Times New Roman"/>
          <w:color w:val="000000"/>
          <w:sz w:val="24"/>
          <w:lang w:val="sr-Latn-ME" w:eastAsia="en-GB"/>
        </w:rPr>
        <w:t>,00€.</w:t>
      </w:r>
    </w:p>
    <w:p w14:paraId="380175E9" w14:textId="77777777" w:rsidR="006D7861" w:rsidRPr="00DE4F22" w:rsidRDefault="00580E43" w:rsidP="006D7861">
      <w:pPr>
        <w:pStyle w:val="ListParagraph"/>
        <w:spacing w:before="0" w:after="0"/>
        <w:ind w:firstLine="0"/>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t>Po potrebi biće angažovane i stručne konsultantske kompanije koje će pružati tehničku po</w:t>
      </w:r>
      <w:r w:rsidR="00D91EEC" w:rsidRPr="00DE4F22">
        <w:rPr>
          <w:rFonts w:ascii="Times New Roman" w:eastAsia="Georgia" w:hAnsi="Times New Roman" w:cs="Times New Roman"/>
          <w:color w:val="000000"/>
          <w:sz w:val="24"/>
          <w:lang w:val="sr-Latn-ME" w:eastAsia="en-GB"/>
        </w:rPr>
        <w:t>dršku</w:t>
      </w:r>
      <w:r w:rsidRPr="00DE4F22">
        <w:rPr>
          <w:rFonts w:ascii="Times New Roman" w:eastAsia="Georgia" w:hAnsi="Times New Roman" w:cs="Times New Roman"/>
          <w:color w:val="000000"/>
          <w:sz w:val="24"/>
          <w:lang w:val="sr-Latn-ME" w:eastAsia="en-GB"/>
        </w:rPr>
        <w:t xml:space="preserve"> pri realizaciji projektnih aktivnosti, isključivo za usluge za koje </w:t>
      </w:r>
      <w:r w:rsidR="00CE0E99" w:rsidRPr="00DE4F22">
        <w:rPr>
          <w:rFonts w:ascii="Times New Roman" w:eastAsia="Georgia" w:hAnsi="Times New Roman" w:cs="Times New Roman"/>
          <w:color w:val="000000"/>
          <w:sz w:val="24"/>
          <w:lang w:val="sr-Latn-ME" w:eastAsia="en-GB"/>
        </w:rPr>
        <w:t>Eko-fond</w:t>
      </w:r>
      <w:r w:rsidRPr="00DE4F22">
        <w:rPr>
          <w:rFonts w:ascii="Times New Roman" w:eastAsia="Georgia" w:hAnsi="Times New Roman" w:cs="Times New Roman"/>
          <w:color w:val="000000"/>
          <w:sz w:val="24"/>
          <w:lang w:val="sr-Latn-ME" w:eastAsia="en-GB"/>
        </w:rPr>
        <w:t xml:space="preserve"> nema ekspertizu. </w:t>
      </w:r>
    </w:p>
    <w:p w14:paraId="2B152C62" w14:textId="4FD015FC" w:rsidR="006D7861" w:rsidRPr="00DE4F22" w:rsidRDefault="00D357CC" w:rsidP="006D7861">
      <w:pPr>
        <w:pStyle w:val="ListParagraph"/>
        <w:numPr>
          <w:ilvl w:val="2"/>
          <w:numId w:val="33"/>
        </w:numPr>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t xml:space="preserve">Troškovi stručnog </w:t>
      </w:r>
      <w:r w:rsidR="00701A97" w:rsidRPr="00DE4F22">
        <w:rPr>
          <w:rFonts w:ascii="Times New Roman" w:eastAsia="Georgia" w:hAnsi="Times New Roman" w:cs="Times New Roman"/>
          <w:color w:val="000000"/>
          <w:sz w:val="24"/>
          <w:lang w:val="sr-Latn-ME" w:eastAsia="en-GB"/>
        </w:rPr>
        <w:t>usavršavanja</w:t>
      </w:r>
      <w:r w:rsidRPr="00DE4F22">
        <w:rPr>
          <w:rFonts w:ascii="Times New Roman" w:eastAsia="Georgia" w:hAnsi="Times New Roman" w:cs="Times New Roman"/>
          <w:color w:val="000000"/>
          <w:sz w:val="24"/>
          <w:lang w:val="sr-Latn-ME" w:eastAsia="en-GB"/>
        </w:rPr>
        <w:t xml:space="preserve"> zaposlenih planirani su u iznosu od </w:t>
      </w:r>
      <w:r w:rsidR="004303D3">
        <w:rPr>
          <w:rFonts w:ascii="Times New Roman" w:eastAsia="Georgia" w:hAnsi="Times New Roman" w:cs="Times New Roman"/>
          <w:color w:val="000000"/>
          <w:sz w:val="24"/>
          <w:lang w:val="sr-Latn-ME" w:eastAsia="en-GB"/>
        </w:rPr>
        <w:t>10</w:t>
      </w:r>
      <w:r w:rsidR="006D7861" w:rsidRPr="00DE4F22">
        <w:rPr>
          <w:rFonts w:ascii="Times New Roman" w:eastAsia="Georgia" w:hAnsi="Times New Roman" w:cs="Times New Roman"/>
          <w:color w:val="000000"/>
          <w:sz w:val="24"/>
          <w:lang w:val="sr-Latn-ME" w:eastAsia="en-GB"/>
        </w:rPr>
        <w:t>.</w:t>
      </w:r>
      <w:r w:rsidRPr="00DE4F22">
        <w:rPr>
          <w:rFonts w:ascii="Times New Roman" w:eastAsia="Georgia" w:hAnsi="Times New Roman" w:cs="Times New Roman"/>
          <w:color w:val="000000"/>
          <w:sz w:val="24"/>
          <w:lang w:val="sr-Latn-ME" w:eastAsia="en-GB"/>
        </w:rPr>
        <w:t>000</w:t>
      </w:r>
      <w:r w:rsidR="006D7861" w:rsidRPr="00DE4F22">
        <w:rPr>
          <w:rFonts w:ascii="Times New Roman" w:eastAsia="Georgia" w:hAnsi="Times New Roman" w:cs="Times New Roman"/>
          <w:color w:val="000000"/>
          <w:sz w:val="24"/>
          <w:lang w:val="sr-Latn-ME" w:eastAsia="en-GB"/>
        </w:rPr>
        <w:t>,</w:t>
      </w:r>
      <w:r w:rsidRPr="00DE4F22">
        <w:rPr>
          <w:rFonts w:ascii="Times New Roman" w:eastAsia="Georgia" w:hAnsi="Times New Roman" w:cs="Times New Roman"/>
          <w:color w:val="000000"/>
          <w:sz w:val="24"/>
          <w:lang w:val="sr-Latn-ME" w:eastAsia="en-GB"/>
        </w:rPr>
        <w:t>00€</w:t>
      </w:r>
      <w:r w:rsidR="00701A97" w:rsidRPr="00DE4F22">
        <w:rPr>
          <w:rFonts w:ascii="Times New Roman" w:eastAsia="Georgia" w:hAnsi="Times New Roman" w:cs="Times New Roman"/>
          <w:color w:val="000000"/>
          <w:sz w:val="24"/>
          <w:lang w:val="sr-Latn-ME" w:eastAsia="en-GB"/>
        </w:rPr>
        <w:t>.</w:t>
      </w:r>
    </w:p>
    <w:p w14:paraId="6654830A" w14:textId="3039AC83" w:rsidR="006D7861" w:rsidRPr="00DE4F22" w:rsidRDefault="00D357CC" w:rsidP="006D7861">
      <w:pPr>
        <w:pStyle w:val="ListParagraph"/>
        <w:numPr>
          <w:ilvl w:val="2"/>
          <w:numId w:val="33"/>
        </w:numPr>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t xml:space="preserve">Troškovi stručnih publikacija planirani su u iznosu od </w:t>
      </w:r>
      <w:r w:rsidR="00795D4B" w:rsidRPr="00DE4F22">
        <w:rPr>
          <w:rFonts w:ascii="Times New Roman" w:eastAsia="Georgia" w:hAnsi="Times New Roman" w:cs="Times New Roman"/>
          <w:color w:val="000000"/>
          <w:sz w:val="24"/>
          <w:lang w:val="sr-Latn-ME" w:eastAsia="en-GB"/>
        </w:rPr>
        <w:t>3</w:t>
      </w:r>
      <w:r w:rsidR="004F4032" w:rsidRPr="00DE4F22">
        <w:rPr>
          <w:rFonts w:ascii="Times New Roman" w:eastAsia="Georgia" w:hAnsi="Times New Roman" w:cs="Times New Roman"/>
          <w:color w:val="000000"/>
          <w:sz w:val="24"/>
          <w:lang w:val="sr-Latn-ME" w:eastAsia="en-GB"/>
        </w:rPr>
        <w:t>.0</w:t>
      </w:r>
      <w:r w:rsidRPr="00DE4F22">
        <w:rPr>
          <w:rFonts w:ascii="Times New Roman" w:eastAsia="Georgia" w:hAnsi="Times New Roman" w:cs="Times New Roman"/>
          <w:color w:val="000000"/>
          <w:sz w:val="24"/>
          <w:lang w:val="sr-Latn-ME" w:eastAsia="en-GB"/>
        </w:rPr>
        <w:t>00,00€.</w:t>
      </w:r>
    </w:p>
    <w:p w14:paraId="533415DC" w14:textId="76603A1B" w:rsidR="006D7861" w:rsidRPr="00DE4F22" w:rsidRDefault="00D357CC" w:rsidP="006D7861">
      <w:pPr>
        <w:pStyle w:val="ListParagraph"/>
        <w:numPr>
          <w:ilvl w:val="2"/>
          <w:numId w:val="33"/>
        </w:numPr>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t>Ostale neproizvodne usluge poput održavanje veb</w:t>
      </w:r>
      <w:r w:rsidR="00D474B9" w:rsidRPr="00DE4F22">
        <w:rPr>
          <w:rFonts w:ascii="Times New Roman" w:eastAsia="Georgia" w:hAnsi="Times New Roman" w:cs="Times New Roman"/>
          <w:color w:val="000000"/>
          <w:sz w:val="24"/>
          <w:lang w:val="sr-Latn-ME" w:eastAsia="en-GB"/>
        </w:rPr>
        <w:t>-</w:t>
      </w:r>
      <w:r w:rsidRPr="00DE4F22">
        <w:rPr>
          <w:rFonts w:ascii="Times New Roman" w:eastAsia="Georgia" w:hAnsi="Times New Roman" w:cs="Times New Roman"/>
          <w:color w:val="000000"/>
          <w:sz w:val="24"/>
          <w:lang w:val="sr-Latn-ME" w:eastAsia="en-GB"/>
        </w:rPr>
        <w:t>sajta, nadogradnja veb</w:t>
      </w:r>
      <w:r w:rsidR="00D474B9" w:rsidRPr="00DE4F22">
        <w:rPr>
          <w:rFonts w:ascii="Times New Roman" w:eastAsia="Georgia" w:hAnsi="Times New Roman" w:cs="Times New Roman"/>
          <w:color w:val="000000"/>
          <w:sz w:val="24"/>
          <w:lang w:val="sr-Latn-ME" w:eastAsia="en-GB"/>
        </w:rPr>
        <w:t>-</w:t>
      </w:r>
      <w:r w:rsidRPr="00DE4F22">
        <w:rPr>
          <w:rFonts w:ascii="Times New Roman" w:eastAsia="Georgia" w:hAnsi="Times New Roman" w:cs="Times New Roman"/>
          <w:color w:val="000000"/>
          <w:sz w:val="24"/>
          <w:lang w:val="sr-Latn-ME" w:eastAsia="en-GB"/>
        </w:rPr>
        <w:t xml:space="preserve">sajta, održavanje domena, </w:t>
      </w:r>
      <w:r w:rsidR="004F4032" w:rsidRPr="00DE4F22">
        <w:rPr>
          <w:rFonts w:ascii="Times New Roman" w:eastAsia="Georgia" w:hAnsi="Times New Roman" w:cs="Times New Roman"/>
          <w:color w:val="000000"/>
          <w:sz w:val="24"/>
          <w:lang w:val="sr-Latn-ME" w:eastAsia="en-GB"/>
        </w:rPr>
        <w:t>g</w:t>
      </w:r>
      <w:r w:rsidR="000074D9" w:rsidRPr="00DE4F22">
        <w:rPr>
          <w:rFonts w:ascii="Times New Roman" w:eastAsia="Georgia" w:hAnsi="Times New Roman" w:cs="Times New Roman"/>
          <w:color w:val="000000"/>
          <w:sz w:val="24"/>
          <w:lang w:val="sr-Latn-ME" w:eastAsia="en-GB"/>
        </w:rPr>
        <w:t>oogle</w:t>
      </w:r>
      <w:r w:rsidRPr="00DE4F22">
        <w:rPr>
          <w:rFonts w:ascii="Times New Roman" w:eastAsia="Georgia" w:hAnsi="Times New Roman" w:cs="Times New Roman"/>
          <w:color w:val="000000"/>
          <w:sz w:val="24"/>
          <w:lang w:val="sr-Latn-ME" w:eastAsia="en-GB"/>
        </w:rPr>
        <w:t xml:space="preserve"> naloga i slično, planirane su ukupnom iznosu </w:t>
      </w:r>
      <w:r w:rsidR="004303D3">
        <w:rPr>
          <w:rFonts w:ascii="Times New Roman" w:eastAsia="Georgia" w:hAnsi="Times New Roman" w:cs="Times New Roman"/>
          <w:color w:val="000000"/>
          <w:sz w:val="24"/>
          <w:lang w:val="sr-Latn-ME" w:eastAsia="en-GB"/>
        </w:rPr>
        <w:t>7</w:t>
      </w:r>
      <w:r w:rsidR="004F4032" w:rsidRPr="00DE4F22">
        <w:rPr>
          <w:rFonts w:ascii="Times New Roman" w:eastAsia="Georgia" w:hAnsi="Times New Roman" w:cs="Times New Roman"/>
          <w:color w:val="000000"/>
          <w:sz w:val="24"/>
          <w:lang w:val="sr-Latn-ME" w:eastAsia="en-GB"/>
        </w:rPr>
        <w:t>.000</w:t>
      </w:r>
      <w:r w:rsidR="002731ED" w:rsidRPr="00DE4F22">
        <w:rPr>
          <w:rFonts w:ascii="Times New Roman" w:eastAsia="Georgia" w:hAnsi="Times New Roman" w:cs="Times New Roman"/>
          <w:color w:val="000000"/>
          <w:sz w:val="24"/>
          <w:lang w:val="sr-Latn-ME" w:eastAsia="en-GB"/>
        </w:rPr>
        <w:t>,</w:t>
      </w:r>
      <w:r w:rsidRPr="00DE4F22">
        <w:rPr>
          <w:rFonts w:ascii="Times New Roman" w:eastAsia="Georgia" w:hAnsi="Times New Roman" w:cs="Times New Roman"/>
          <w:color w:val="000000"/>
          <w:sz w:val="24"/>
          <w:lang w:val="sr-Latn-ME" w:eastAsia="en-GB"/>
        </w:rPr>
        <w:t>00€.</w:t>
      </w:r>
    </w:p>
    <w:p w14:paraId="10378319" w14:textId="3912FA19" w:rsidR="006D7861" w:rsidRPr="00DE4F22" w:rsidRDefault="00D357CC" w:rsidP="006D7861">
      <w:pPr>
        <w:pStyle w:val="ListParagraph"/>
        <w:numPr>
          <w:ilvl w:val="2"/>
          <w:numId w:val="33"/>
        </w:numPr>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t xml:space="preserve">Troškovi reprezentacije planirani su u iznosu od </w:t>
      </w:r>
      <w:r w:rsidR="004303D3">
        <w:rPr>
          <w:rFonts w:ascii="Times New Roman" w:eastAsia="Georgia" w:hAnsi="Times New Roman" w:cs="Times New Roman"/>
          <w:color w:val="000000"/>
          <w:sz w:val="24"/>
          <w:lang w:val="sr-Latn-ME" w:eastAsia="en-GB"/>
        </w:rPr>
        <w:t>3</w:t>
      </w:r>
      <w:r w:rsidR="00795D4B" w:rsidRPr="00DE4F22">
        <w:rPr>
          <w:rFonts w:ascii="Times New Roman" w:eastAsia="Georgia" w:hAnsi="Times New Roman" w:cs="Times New Roman"/>
          <w:color w:val="000000"/>
          <w:sz w:val="24"/>
          <w:lang w:val="sr-Latn-ME" w:eastAsia="en-GB"/>
        </w:rPr>
        <w:t>0</w:t>
      </w:r>
      <w:r w:rsidR="006D7861" w:rsidRPr="00DE4F22">
        <w:rPr>
          <w:rFonts w:ascii="Times New Roman" w:eastAsia="Georgia" w:hAnsi="Times New Roman" w:cs="Times New Roman"/>
          <w:color w:val="000000"/>
          <w:sz w:val="24"/>
          <w:lang w:val="sr-Latn-ME" w:eastAsia="en-GB"/>
        </w:rPr>
        <w:t>.</w:t>
      </w:r>
      <w:r w:rsidR="00E2282C" w:rsidRPr="00DE4F22">
        <w:rPr>
          <w:rFonts w:ascii="Times New Roman" w:eastAsia="Georgia" w:hAnsi="Times New Roman" w:cs="Times New Roman"/>
          <w:color w:val="000000"/>
          <w:sz w:val="24"/>
          <w:lang w:val="sr-Latn-ME" w:eastAsia="en-GB"/>
        </w:rPr>
        <w:t>000</w:t>
      </w:r>
      <w:r w:rsidR="006D7861" w:rsidRPr="00DE4F22">
        <w:rPr>
          <w:rFonts w:ascii="Times New Roman" w:eastAsia="Georgia" w:hAnsi="Times New Roman" w:cs="Times New Roman"/>
          <w:color w:val="000000"/>
          <w:sz w:val="24"/>
          <w:lang w:val="sr-Latn-ME" w:eastAsia="en-GB"/>
        </w:rPr>
        <w:t>,</w:t>
      </w:r>
      <w:r w:rsidRPr="00DE4F22">
        <w:rPr>
          <w:rFonts w:ascii="Times New Roman" w:eastAsia="Georgia" w:hAnsi="Times New Roman" w:cs="Times New Roman"/>
          <w:color w:val="000000"/>
          <w:sz w:val="24"/>
          <w:lang w:val="sr-Latn-ME" w:eastAsia="en-GB"/>
        </w:rPr>
        <w:t>00€</w:t>
      </w:r>
      <w:r w:rsidR="002731ED" w:rsidRPr="00DE4F22">
        <w:rPr>
          <w:rFonts w:ascii="Times New Roman" w:eastAsia="Georgia" w:hAnsi="Times New Roman" w:cs="Times New Roman"/>
          <w:color w:val="000000"/>
          <w:sz w:val="24"/>
          <w:lang w:val="sr-Latn-ME" w:eastAsia="en-GB"/>
        </w:rPr>
        <w:t>,</w:t>
      </w:r>
      <w:r w:rsidRPr="00DE4F22">
        <w:rPr>
          <w:rFonts w:ascii="Times New Roman" w:eastAsia="Georgia" w:hAnsi="Times New Roman" w:cs="Times New Roman"/>
          <w:color w:val="000000"/>
          <w:sz w:val="24"/>
          <w:lang w:val="sr-Latn-ME" w:eastAsia="en-GB"/>
        </w:rPr>
        <w:t xml:space="preserve"> a odnose se </w:t>
      </w:r>
      <w:r w:rsidR="00BD5414" w:rsidRPr="00DE4F22">
        <w:rPr>
          <w:rFonts w:ascii="Times New Roman" w:eastAsia="Georgia" w:hAnsi="Times New Roman" w:cs="Times New Roman"/>
          <w:color w:val="000000"/>
          <w:sz w:val="24"/>
          <w:lang w:val="sr-Latn-ME" w:eastAsia="en-GB"/>
        </w:rPr>
        <w:t xml:space="preserve">nabavku </w:t>
      </w:r>
      <w:r w:rsidR="00E2282C" w:rsidRPr="00DE4F22">
        <w:rPr>
          <w:rFonts w:ascii="Times New Roman" w:eastAsia="Georgia" w:hAnsi="Times New Roman" w:cs="Times New Roman"/>
          <w:color w:val="000000"/>
          <w:sz w:val="24"/>
          <w:lang w:val="sr-Latn-ME" w:eastAsia="en-GB"/>
        </w:rPr>
        <w:t>za potrebe kancelarije,</w:t>
      </w:r>
      <w:r w:rsidR="00BD5414" w:rsidRPr="00DE4F22">
        <w:rPr>
          <w:rFonts w:ascii="Times New Roman" w:eastAsia="Georgia" w:hAnsi="Times New Roman" w:cs="Times New Roman"/>
          <w:color w:val="000000"/>
          <w:sz w:val="24"/>
          <w:lang w:val="sr-Latn-ME" w:eastAsia="en-GB"/>
        </w:rPr>
        <w:t xml:space="preserve"> i </w:t>
      </w:r>
      <w:r w:rsidR="00E2282C" w:rsidRPr="00DE4F22">
        <w:rPr>
          <w:rFonts w:ascii="Times New Roman" w:eastAsia="Georgia" w:hAnsi="Times New Roman" w:cs="Times New Roman"/>
          <w:color w:val="000000"/>
          <w:sz w:val="24"/>
          <w:lang w:val="sr-Latn-ME" w:eastAsia="en-GB"/>
        </w:rPr>
        <w:t>ostale troškove reprezentacije</w:t>
      </w:r>
      <w:r w:rsidR="00BD5414" w:rsidRPr="00DE4F22">
        <w:rPr>
          <w:rFonts w:ascii="Times New Roman" w:eastAsia="Georgia" w:hAnsi="Times New Roman" w:cs="Times New Roman"/>
          <w:color w:val="000000"/>
          <w:sz w:val="24"/>
          <w:lang w:val="sr-Latn-ME" w:eastAsia="en-GB"/>
        </w:rPr>
        <w:t>.</w:t>
      </w:r>
    </w:p>
    <w:p w14:paraId="3CAD1852" w14:textId="6951E34B" w:rsidR="006D7861" w:rsidRPr="00DE4F22" w:rsidRDefault="0003208B" w:rsidP="006D7861">
      <w:pPr>
        <w:pStyle w:val="ListParagraph"/>
        <w:numPr>
          <w:ilvl w:val="2"/>
          <w:numId w:val="33"/>
        </w:numPr>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t>Troškovi premije osiguranja vozila</w:t>
      </w:r>
      <w:r w:rsidR="004303D3">
        <w:rPr>
          <w:rFonts w:ascii="Times New Roman" w:eastAsia="Georgia" w:hAnsi="Times New Roman" w:cs="Times New Roman"/>
          <w:color w:val="000000"/>
          <w:sz w:val="24"/>
          <w:lang w:val="sr-Latn-ME" w:eastAsia="en-GB"/>
        </w:rPr>
        <w:t>, nekretnine, postrojenja</w:t>
      </w:r>
      <w:r w:rsidRPr="00DE4F22">
        <w:rPr>
          <w:rFonts w:ascii="Times New Roman" w:eastAsia="Georgia" w:hAnsi="Times New Roman" w:cs="Times New Roman"/>
          <w:color w:val="000000"/>
          <w:sz w:val="24"/>
          <w:lang w:val="sr-Latn-ME" w:eastAsia="en-GB"/>
        </w:rPr>
        <w:t xml:space="preserve"> </w:t>
      </w:r>
      <w:r w:rsidR="00795D4B" w:rsidRPr="00DE4F22">
        <w:rPr>
          <w:rFonts w:ascii="Times New Roman" w:eastAsia="Georgia" w:hAnsi="Times New Roman" w:cs="Times New Roman"/>
          <w:color w:val="000000"/>
          <w:sz w:val="24"/>
          <w:lang w:val="sr-Latn-ME" w:eastAsia="en-GB"/>
        </w:rPr>
        <w:t>5</w:t>
      </w:r>
      <w:r w:rsidR="006D7861" w:rsidRPr="00DE4F22">
        <w:rPr>
          <w:rFonts w:ascii="Times New Roman" w:eastAsia="Georgia" w:hAnsi="Times New Roman" w:cs="Times New Roman"/>
          <w:color w:val="000000"/>
          <w:sz w:val="24"/>
          <w:lang w:val="sr-Latn-ME" w:eastAsia="en-GB"/>
        </w:rPr>
        <w:t>.</w:t>
      </w:r>
      <w:r w:rsidR="00795D4B" w:rsidRPr="00DE4F22">
        <w:rPr>
          <w:rFonts w:ascii="Times New Roman" w:eastAsia="Georgia" w:hAnsi="Times New Roman" w:cs="Times New Roman"/>
          <w:color w:val="000000"/>
          <w:sz w:val="24"/>
          <w:lang w:val="sr-Latn-ME" w:eastAsia="en-GB"/>
        </w:rPr>
        <w:t>0</w:t>
      </w:r>
      <w:r w:rsidR="00AC3BD0" w:rsidRPr="00DE4F22">
        <w:rPr>
          <w:rFonts w:ascii="Times New Roman" w:eastAsia="Georgia" w:hAnsi="Times New Roman" w:cs="Times New Roman"/>
          <w:color w:val="000000"/>
          <w:sz w:val="24"/>
          <w:lang w:val="sr-Latn-ME" w:eastAsia="en-GB"/>
        </w:rPr>
        <w:t>00</w:t>
      </w:r>
      <w:r w:rsidR="006D7861" w:rsidRPr="00DE4F22">
        <w:rPr>
          <w:rFonts w:ascii="Times New Roman" w:eastAsia="Georgia" w:hAnsi="Times New Roman" w:cs="Times New Roman"/>
          <w:color w:val="000000"/>
          <w:sz w:val="24"/>
          <w:lang w:val="sr-Latn-ME" w:eastAsia="en-GB"/>
        </w:rPr>
        <w:t>,</w:t>
      </w:r>
      <w:r w:rsidR="00AC3BD0" w:rsidRPr="00DE4F22">
        <w:rPr>
          <w:rFonts w:ascii="Times New Roman" w:eastAsia="Georgia" w:hAnsi="Times New Roman" w:cs="Times New Roman"/>
          <w:color w:val="000000"/>
          <w:sz w:val="24"/>
          <w:lang w:val="sr-Latn-ME" w:eastAsia="en-GB"/>
        </w:rPr>
        <w:t>00€</w:t>
      </w:r>
    </w:p>
    <w:p w14:paraId="578ACB25" w14:textId="21B44273" w:rsidR="006D7861" w:rsidRPr="00DE4F22" w:rsidRDefault="00AC3BD0" w:rsidP="006D7861">
      <w:pPr>
        <w:pStyle w:val="ListParagraph"/>
        <w:numPr>
          <w:ilvl w:val="2"/>
          <w:numId w:val="33"/>
        </w:numPr>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t xml:space="preserve">Troškovi premija obaveznog osiguranja zaposlenih </w:t>
      </w:r>
      <w:r w:rsidR="004303D3">
        <w:rPr>
          <w:rFonts w:ascii="Times New Roman" w:eastAsia="Georgia" w:hAnsi="Times New Roman" w:cs="Times New Roman"/>
          <w:color w:val="000000"/>
          <w:sz w:val="24"/>
          <w:lang w:val="sr-Latn-ME" w:eastAsia="en-GB"/>
        </w:rPr>
        <w:t>8.00</w:t>
      </w:r>
      <w:r w:rsidR="004F4032" w:rsidRPr="00DE4F22">
        <w:rPr>
          <w:rFonts w:ascii="Times New Roman" w:eastAsia="Georgia" w:hAnsi="Times New Roman" w:cs="Times New Roman"/>
          <w:color w:val="000000"/>
          <w:sz w:val="24"/>
          <w:lang w:val="sr-Latn-ME" w:eastAsia="en-GB"/>
        </w:rPr>
        <w:t>0</w:t>
      </w:r>
      <w:r w:rsidRPr="00DE4F22">
        <w:rPr>
          <w:rFonts w:ascii="Times New Roman" w:eastAsia="Georgia" w:hAnsi="Times New Roman" w:cs="Times New Roman"/>
          <w:color w:val="000000"/>
          <w:sz w:val="24"/>
          <w:lang w:val="sr-Latn-ME" w:eastAsia="en-GB"/>
        </w:rPr>
        <w:t>,00€</w:t>
      </w:r>
    </w:p>
    <w:p w14:paraId="02A01D9E" w14:textId="6C2E3F55" w:rsidR="006D7861" w:rsidRPr="00DE4F22" w:rsidRDefault="00AC3BD0" w:rsidP="006D7861">
      <w:pPr>
        <w:pStyle w:val="ListParagraph"/>
        <w:numPr>
          <w:ilvl w:val="2"/>
          <w:numId w:val="33"/>
        </w:numPr>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t xml:space="preserve">Troškovi platnog prometa u iznosu od </w:t>
      </w:r>
      <w:r w:rsidR="004303D3">
        <w:rPr>
          <w:rFonts w:ascii="Times New Roman" w:eastAsia="Georgia" w:hAnsi="Times New Roman" w:cs="Times New Roman"/>
          <w:color w:val="000000"/>
          <w:sz w:val="24"/>
          <w:lang w:val="sr-Latn-ME" w:eastAsia="en-GB"/>
        </w:rPr>
        <w:t>10</w:t>
      </w:r>
      <w:r w:rsidR="006D7861" w:rsidRPr="00DE4F22">
        <w:rPr>
          <w:rFonts w:ascii="Times New Roman" w:eastAsia="Georgia" w:hAnsi="Times New Roman" w:cs="Times New Roman"/>
          <w:color w:val="000000"/>
          <w:sz w:val="24"/>
          <w:lang w:val="sr-Latn-ME" w:eastAsia="en-GB"/>
        </w:rPr>
        <w:t>.</w:t>
      </w:r>
      <w:r w:rsidRPr="00DE4F22">
        <w:rPr>
          <w:rFonts w:ascii="Times New Roman" w:eastAsia="Georgia" w:hAnsi="Times New Roman" w:cs="Times New Roman"/>
          <w:color w:val="000000"/>
          <w:sz w:val="24"/>
          <w:lang w:val="sr-Latn-ME" w:eastAsia="en-GB"/>
        </w:rPr>
        <w:t>000</w:t>
      </w:r>
      <w:r w:rsidR="006D7861" w:rsidRPr="00DE4F22">
        <w:rPr>
          <w:rFonts w:ascii="Times New Roman" w:eastAsia="Georgia" w:hAnsi="Times New Roman" w:cs="Times New Roman"/>
          <w:color w:val="000000"/>
          <w:sz w:val="24"/>
          <w:lang w:val="sr-Latn-ME" w:eastAsia="en-GB"/>
        </w:rPr>
        <w:t>,</w:t>
      </w:r>
      <w:r w:rsidRPr="00DE4F22">
        <w:rPr>
          <w:rFonts w:ascii="Times New Roman" w:eastAsia="Georgia" w:hAnsi="Times New Roman" w:cs="Times New Roman"/>
          <w:color w:val="000000"/>
          <w:sz w:val="24"/>
          <w:lang w:val="sr-Latn-ME" w:eastAsia="en-GB"/>
        </w:rPr>
        <w:t>00€</w:t>
      </w:r>
    </w:p>
    <w:p w14:paraId="539CDB56" w14:textId="313E0D71" w:rsidR="006D7861" w:rsidRPr="00DE4F22" w:rsidRDefault="00DC4285" w:rsidP="006D7861">
      <w:pPr>
        <w:pStyle w:val="ListParagraph"/>
        <w:numPr>
          <w:ilvl w:val="2"/>
          <w:numId w:val="33"/>
        </w:numPr>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t>Troškovi ostalih poreza</w:t>
      </w:r>
      <w:r w:rsidR="00AC3BD0" w:rsidRPr="00DE4F22">
        <w:rPr>
          <w:rFonts w:ascii="Times New Roman" w:eastAsia="Georgia" w:hAnsi="Times New Roman" w:cs="Times New Roman"/>
          <w:color w:val="000000"/>
          <w:sz w:val="24"/>
          <w:lang w:val="sr-Latn-ME" w:eastAsia="en-GB"/>
        </w:rPr>
        <w:t xml:space="preserve"> u iznosu od </w:t>
      </w:r>
      <w:r w:rsidRPr="00DE4F22">
        <w:rPr>
          <w:rFonts w:ascii="Times New Roman" w:eastAsia="Georgia" w:hAnsi="Times New Roman" w:cs="Times New Roman"/>
          <w:color w:val="000000"/>
          <w:sz w:val="24"/>
          <w:lang w:val="sr-Latn-ME" w:eastAsia="en-GB"/>
        </w:rPr>
        <w:t>1.000</w:t>
      </w:r>
      <w:r w:rsidR="00AC3BD0" w:rsidRPr="00DE4F22">
        <w:rPr>
          <w:rFonts w:ascii="Times New Roman" w:eastAsia="Georgia" w:hAnsi="Times New Roman" w:cs="Times New Roman"/>
          <w:color w:val="000000"/>
          <w:sz w:val="24"/>
          <w:lang w:val="sr-Latn-ME" w:eastAsia="en-GB"/>
        </w:rPr>
        <w:t>,00€</w:t>
      </w:r>
    </w:p>
    <w:p w14:paraId="43976123" w14:textId="59A95B3F" w:rsidR="00AC3BD0" w:rsidRPr="00DE4F22" w:rsidRDefault="00AC3BD0" w:rsidP="006D7861">
      <w:pPr>
        <w:pStyle w:val="ListParagraph"/>
        <w:numPr>
          <w:ilvl w:val="2"/>
          <w:numId w:val="33"/>
        </w:numPr>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t xml:space="preserve">Ostale usluge u iznosu od </w:t>
      </w:r>
      <w:r w:rsidR="004303D3">
        <w:rPr>
          <w:rFonts w:ascii="Times New Roman" w:eastAsia="Georgia" w:hAnsi="Times New Roman" w:cs="Times New Roman"/>
          <w:color w:val="000000"/>
          <w:sz w:val="24"/>
          <w:lang w:val="sr-Latn-ME" w:eastAsia="en-GB"/>
        </w:rPr>
        <w:t>20</w:t>
      </w:r>
      <w:r w:rsidR="006D7861" w:rsidRPr="00DE4F22">
        <w:rPr>
          <w:rFonts w:ascii="Times New Roman" w:eastAsia="Georgia" w:hAnsi="Times New Roman" w:cs="Times New Roman"/>
          <w:color w:val="000000"/>
          <w:sz w:val="24"/>
          <w:lang w:val="sr-Latn-ME" w:eastAsia="en-GB"/>
        </w:rPr>
        <w:t>.</w:t>
      </w:r>
      <w:r w:rsidRPr="00DE4F22">
        <w:rPr>
          <w:rFonts w:ascii="Times New Roman" w:eastAsia="Georgia" w:hAnsi="Times New Roman" w:cs="Times New Roman"/>
          <w:color w:val="000000"/>
          <w:sz w:val="24"/>
          <w:lang w:val="sr-Latn-ME" w:eastAsia="en-GB"/>
        </w:rPr>
        <w:t>000</w:t>
      </w:r>
      <w:r w:rsidR="006D7861" w:rsidRPr="00DE4F22">
        <w:rPr>
          <w:rFonts w:ascii="Times New Roman" w:eastAsia="Georgia" w:hAnsi="Times New Roman" w:cs="Times New Roman"/>
          <w:color w:val="000000"/>
          <w:sz w:val="24"/>
          <w:lang w:val="sr-Latn-ME" w:eastAsia="en-GB"/>
        </w:rPr>
        <w:t>,</w:t>
      </w:r>
      <w:r w:rsidRPr="00DE4F22">
        <w:rPr>
          <w:rFonts w:ascii="Times New Roman" w:eastAsia="Georgia" w:hAnsi="Times New Roman" w:cs="Times New Roman"/>
          <w:color w:val="000000"/>
          <w:sz w:val="24"/>
          <w:lang w:val="sr-Latn-ME" w:eastAsia="en-GB"/>
        </w:rPr>
        <w:t>00€.</w:t>
      </w:r>
    </w:p>
    <w:p w14:paraId="217665F7" w14:textId="77777777" w:rsidR="009755DC" w:rsidRPr="00DE4F22" w:rsidRDefault="009C2EB0" w:rsidP="00523B35">
      <w:pPr>
        <w:pStyle w:val="ListParagraph"/>
        <w:numPr>
          <w:ilvl w:val="1"/>
          <w:numId w:val="34"/>
        </w:numPr>
        <w:rPr>
          <w:rFonts w:ascii="Times New Roman" w:eastAsia="Georgia" w:hAnsi="Times New Roman" w:cs="Times New Roman"/>
          <w:b/>
          <w:sz w:val="24"/>
          <w:szCs w:val="32"/>
          <w:lang w:val="sr-Latn-ME"/>
        </w:rPr>
      </w:pPr>
      <w:r w:rsidRPr="00DE4F22">
        <w:rPr>
          <w:rFonts w:ascii="Times New Roman" w:eastAsia="Georgia" w:hAnsi="Times New Roman" w:cs="Times New Roman"/>
          <w:b/>
          <w:sz w:val="24"/>
          <w:szCs w:val="32"/>
          <w:lang w:val="sr-Latn-ME"/>
        </w:rPr>
        <w:t>Rashodi kamata</w:t>
      </w:r>
    </w:p>
    <w:p w14:paraId="56327DEF" w14:textId="14E6606D" w:rsidR="00695808" w:rsidRPr="00DE4F22" w:rsidRDefault="009C2EB0" w:rsidP="006D7861">
      <w:pPr>
        <w:pStyle w:val="ListParagraph"/>
        <w:numPr>
          <w:ilvl w:val="2"/>
          <w:numId w:val="34"/>
        </w:numPr>
        <w:rPr>
          <w:rFonts w:ascii="Times New Roman" w:eastAsia="Georgia" w:hAnsi="Times New Roman" w:cs="Times New Roman"/>
          <w:color w:val="000000"/>
          <w:sz w:val="24"/>
          <w:lang w:val="sr-Latn-ME" w:eastAsia="en-GB"/>
        </w:rPr>
      </w:pPr>
      <w:r w:rsidRPr="00DE4F22">
        <w:rPr>
          <w:rFonts w:ascii="Times New Roman" w:eastAsia="Georgia" w:hAnsi="Times New Roman" w:cs="Times New Roman"/>
          <w:color w:val="000000"/>
          <w:sz w:val="24"/>
          <w:lang w:val="sr-Latn-ME" w:eastAsia="en-GB"/>
        </w:rPr>
        <w:t>Podrazumijevaju izdatke za kamate po osnovu Ugovora o finansijskom lizingu za nabavku opreme (vozila), potpisanog 31.12.2020. godine</w:t>
      </w:r>
      <w:r w:rsidR="005757F8" w:rsidRPr="00DE4F22">
        <w:rPr>
          <w:rFonts w:ascii="Times New Roman" w:eastAsia="Georgia" w:hAnsi="Times New Roman" w:cs="Times New Roman"/>
          <w:color w:val="000000"/>
          <w:sz w:val="24"/>
          <w:lang w:val="sr-Latn-ME" w:eastAsia="en-GB"/>
        </w:rPr>
        <w:t xml:space="preserve">. Planirani iznos je </w:t>
      </w:r>
      <w:r w:rsidR="004303D3">
        <w:rPr>
          <w:rFonts w:ascii="Times New Roman" w:eastAsia="Georgia" w:hAnsi="Times New Roman" w:cs="Times New Roman"/>
          <w:color w:val="000000"/>
          <w:sz w:val="24"/>
          <w:lang w:val="sr-Latn-ME" w:eastAsia="en-GB"/>
        </w:rPr>
        <w:t>1</w:t>
      </w:r>
      <w:r w:rsidR="005757F8" w:rsidRPr="00DE4F22">
        <w:rPr>
          <w:rFonts w:ascii="Times New Roman" w:eastAsia="Georgia" w:hAnsi="Times New Roman" w:cs="Times New Roman"/>
          <w:color w:val="000000"/>
          <w:sz w:val="24"/>
          <w:lang w:val="sr-Latn-ME" w:eastAsia="en-GB"/>
        </w:rPr>
        <w:t>.000,00€</w:t>
      </w:r>
    </w:p>
    <w:p w14:paraId="6A16256B" w14:textId="77777777" w:rsidR="00523B35" w:rsidRPr="00DE4F22" w:rsidRDefault="00AC3BD0" w:rsidP="00523B35">
      <w:pPr>
        <w:pStyle w:val="ListParagraph"/>
        <w:numPr>
          <w:ilvl w:val="1"/>
          <w:numId w:val="34"/>
        </w:numPr>
        <w:rPr>
          <w:rFonts w:ascii="Times New Roman" w:eastAsia="Georgia" w:hAnsi="Times New Roman" w:cs="Times New Roman"/>
          <w:b/>
          <w:sz w:val="24"/>
          <w:szCs w:val="32"/>
          <w:lang w:val="sr-Latn-ME"/>
        </w:rPr>
      </w:pPr>
      <w:r w:rsidRPr="00DE4F22">
        <w:rPr>
          <w:rFonts w:ascii="Times New Roman" w:eastAsia="Georgia" w:hAnsi="Times New Roman" w:cs="Times New Roman"/>
          <w:b/>
          <w:sz w:val="24"/>
          <w:szCs w:val="32"/>
          <w:lang w:val="sr-Latn-ME"/>
        </w:rPr>
        <w:t>Ostali rashodi</w:t>
      </w:r>
      <w:r w:rsidR="00523B35" w:rsidRPr="00DE4F22">
        <w:rPr>
          <w:rFonts w:ascii="Times New Roman" w:eastAsia="Georgia" w:hAnsi="Times New Roman" w:cs="Times New Roman"/>
          <w:b/>
          <w:sz w:val="24"/>
          <w:szCs w:val="32"/>
          <w:lang w:val="sr-Latn-ME"/>
        </w:rPr>
        <w:t xml:space="preserve"> </w:t>
      </w:r>
    </w:p>
    <w:p w14:paraId="6EA673C7" w14:textId="0CF60B68" w:rsidR="00523B35" w:rsidRPr="00DE4F22" w:rsidRDefault="00523B35" w:rsidP="00523B35">
      <w:pPr>
        <w:rPr>
          <w:rFonts w:eastAsia="Georgia"/>
        </w:rPr>
      </w:pPr>
      <w:r w:rsidRPr="00DE4F22">
        <w:rPr>
          <w:rFonts w:eastAsia="Georgia"/>
        </w:rPr>
        <w:t>Ostali rashodi planirani su u ukupnom iznosu od</w:t>
      </w:r>
      <w:r w:rsidRPr="00DE4F22">
        <w:rPr>
          <w:rFonts w:eastAsia="Georgia"/>
          <w:b/>
          <w:bCs/>
        </w:rPr>
        <w:t xml:space="preserve"> </w:t>
      </w:r>
      <w:r w:rsidR="00811C67" w:rsidRPr="00DE4F22">
        <w:rPr>
          <w:rFonts w:eastAsia="Georgia"/>
          <w:b/>
          <w:bCs/>
        </w:rPr>
        <w:t>4</w:t>
      </w:r>
      <w:r w:rsidR="005757F8" w:rsidRPr="00DE4F22">
        <w:rPr>
          <w:rFonts w:eastAsia="Georgia"/>
          <w:b/>
          <w:bCs/>
        </w:rPr>
        <w:t>0</w:t>
      </w:r>
      <w:r w:rsidRPr="00DE4F22">
        <w:rPr>
          <w:rFonts w:eastAsia="Georgia"/>
          <w:b/>
          <w:bCs/>
        </w:rPr>
        <w:t xml:space="preserve">.000,00€ </w:t>
      </w:r>
      <w:r w:rsidRPr="00DE4F22">
        <w:rPr>
          <w:rFonts w:eastAsia="Georgia"/>
        </w:rPr>
        <w:t>i odnose se na:</w:t>
      </w:r>
    </w:p>
    <w:p w14:paraId="02B48771" w14:textId="7655F7EC" w:rsidR="00AC3BD0" w:rsidRPr="00DE4F22" w:rsidRDefault="006D7861" w:rsidP="007077A7">
      <w:pPr>
        <w:spacing w:after="240"/>
        <w:jc w:val="both"/>
        <w:rPr>
          <w:rFonts w:eastAsia="Georgia"/>
        </w:rPr>
      </w:pPr>
      <w:r w:rsidRPr="00DE4F22">
        <w:rPr>
          <w:rFonts w:eastAsia="Georgia"/>
        </w:rPr>
        <w:t xml:space="preserve">2.6.1. </w:t>
      </w:r>
      <w:r w:rsidR="00AC3BD0" w:rsidRPr="00DE4F22">
        <w:rPr>
          <w:rFonts w:eastAsia="Georgia"/>
        </w:rPr>
        <w:t>Sponzorstvo</w:t>
      </w:r>
      <w:r w:rsidR="000074D9" w:rsidRPr="00DE4F22">
        <w:rPr>
          <w:rFonts w:eastAsia="Georgia"/>
        </w:rPr>
        <w:t xml:space="preserve"> </w:t>
      </w:r>
      <w:r w:rsidR="00DC4285" w:rsidRPr="00DE4F22">
        <w:rPr>
          <w:rFonts w:eastAsia="Georgia"/>
        </w:rPr>
        <w:t>–</w:t>
      </w:r>
      <w:r w:rsidR="000074D9" w:rsidRPr="00DE4F22">
        <w:rPr>
          <w:rFonts w:eastAsia="Georgia"/>
        </w:rPr>
        <w:t xml:space="preserve"> </w:t>
      </w:r>
      <w:r w:rsidR="00DC4285" w:rsidRPr="00DE4F22">
        <w:rPr>
          <w:rFonts w:eastAsia="Georgia"/>
        </w:rPr>
        <w:t xml:space="preserve">Izdaci za sponzorstva planirani su u iznosu od </w:t>
      </w:r>
      <w:r w:rsidR="005606AF" w:rsidRPr="00DE4F22">
        <w:rPr>
          <w:rFonts w:eastAsia="Georgia"/>
        </w:rPr>
        <w:t>25</w:t>
      </w:r>
      <w:r w:rsidR="00B0308B" w:rsidRPr="00DE4F22">
        <w:rPr>
          <w:rFonts w:eastAsia="Georgia"/>
        </w:rPr>
        <w:t>.000,00</w:t>
      </w:r>
      <w:r w:rsidR="00FC18F6" w:rsidRPr="00DE4F22">
        <w:rPr>
          <w:rFonts w:eastAsia="Georgia"/>
        </w:rPr>
        <w:t>€</w:t>
      </w:r>
      <w:r w:rsidR="00B0308B" w:rsidRPr="00DE4F22">
        <w:rPr>
          <w:rFonts w:eastAsia="Georgia"/>
        </w:rPr>
        <w:t>. Kroz ovaj vid izdataka Eko-fond će podsticati ekološki prihvatljive projekte</w:t>
      </w:r>
      <w:r w:rsidR="00480BF5" w:rsidRPr="00DE4F22">
        <w:rPr>
          <w:rFonts w:eastAsia="Georgia"/>
        </w:rPr>
        <w:t>,</w:t>
      </w:r>
      <w:r w:rsidR="00B0308B" w:rsidRPr="00DE4F22">
        <w:rPr>
          <w:rFonts w:eastAsia="Georgia"/>
        </w:rPr>
        <w:t xml:space="preserve"> a ujedno i </w:t>
      </w:r>
      <w:r w:rsidR="00480BF5" w:rsidRPr="00DE4F22">
        <w:rPr>
          <w:rFonts w:eastAsia="Georgia"/>
        </w:rPr>
        <w:t>promovisati svoje projekte planirane za 202</w:t>
      </w:r>
      <w:r w:rsidR="004303D3">
        <w:rPr>
          <w:rFonts w:eastAsia="Georgia"/>
        </w:rPr>
        <w:t>5</w:t>
      </w:r>
      <w:r w:rsidR="00480BF5" w:rsidRPr="00DE4F22">
        <w:rPr>
          <w:rFonts w:eastAsia="Georgia"/>
        </w:rPr>
        <w:t>. godinu.</w:t>
      </w:r>
    </w:p>
    <w:p w14:paraId="62BCAE20" w14:textId="400AE32D" w:rsidR="00523B35" w:rsidRPr="00DE4F22" w:rsidRDefault="000117BC" w:rsidP="0084692A">
      <w:pPr>
        <w:spacing w:after="240"/>
        <w:jc w:val="both"/>
        <w:rPr>
          <w:rFonts w:eastAsia="Georgia"/>
        </w:rPr>
      </w:pPr>
      <w:r w:rsidRPr="00DE4F22">
        <w:rPr>
          <w:rFonts w:eastAsia="Georgia"/>
        </w:rPr>
        <w:t xml:space="preserve">2.6.2. </w:t>
      </w:r>
      <w:r w:rsidR="00AC3BD0" w:rsidRPr="00DE4F22">
        <w:rPr>
          <w:rFonts w:eastAsia="Georgia"/>
        </w:rPr>
        <w:t>Donacije</w:t>
      </w:r>
      <w:r w:rsidR="000074D9" w:rsidRPr="00DE4F22">
        <w:rPr>
          <w:rFonts w:eastAsia="Georgia"/>
        </w:rPr>
        <w:t xml:space="preserve"> –</w:t>
      </w:r>
      <w:r w:rsidR="00CA13D3" w:rsidRPr="00DE4F22">
        <w:rPr>
          <w:rFonts w:eastAsia="Georgia"/>
        </w:rPr>
        <w:t xml:space="preserve"> Kao društveno odgovorna firma </w:t>
      </w:r>
      <w:r w:rsidR="00CE0E99" w:rsidRPr="00DE4F22">
        <w:rPr>
          <w:rFonts w:eastAsia="Georgia"/>
        </w:rPr>
        <w:t>Eko-fond</w:t>
      </w:r>
      <w:r w:rsidR="003B6079" w:rsidRPr="00DE4F22">
        <w:rPr>
          <w:rFonts w:eastAsia="Georgia"/>
        </w:rPr>
        <w:t xml:space="preserve"> će takođe izdvojiti </w:t>
      </w:r>
      <w:r w:rsidR="005606AF" w:rsidRPr="00DE4F22">
        <w:rPr>
          <w:rFonts w:eastAsia="Georgia"/>
        </w:rPr>
        <w:t>15.</w:t>
      </w:r>
      <w:r w:rsidR="003B6079" w:rsidRPr="00DE4F22">
        <w:rPr>
          <w:rFonts w:eastAsia="Georgia"/>
        </w:rPr>
        <w:t>000</w:t>
      </w:r>
      <w:r w:rsidR="00523B35" w:rsidRPr="00DE4F22">
        <w:rPr>
          <w:rFonts w:eastAsia="Georgia"/>
        </w:rPr>
        <w:t>,</w:t>
      </w:r>
      <w:r w:rsidR="003B6079" w:rsidRPr="00DE4F22">
        <w:rPr>
          <w:rFonts w:eastAsia="Georgia"/>
        </w:rPr>
        <w:t xml:space="preserve">00€ za donacije inicijativama koje imaju za cilj </w:t>
      </w:r>
      <w:r w:rsidR="00567ECD" w:rsidRPr="00DE4F22">
        <w:rPr>
          <w:rFonts w:eastAsia="Georgia"/>
        </w:rPr>
        <w:t>povećanje svijesti javnog mnjenja kada su u pitanju zaštita životne sredine i energetsk</w:t>
      </w:r>
      <w:r w:rsidR="00CB1121" w:rsidRPr="00DE4F22">
        <w:rPr>
          <w:rFonts w:eastAsia="Georgia"/>
        </w:rPr>
        <w:t>a</w:t>
      </w:r>
      <w:r w:rsidR="00567ECD" w:rsidRPr="00DE4F22">
        <w:rPr>
          <w:rFonts w:eastAsia="Georgia"/>
        </w:rPr>
        <w:t xml:space="preserve"> efikasnost. </w:t>
      </w:r>
    </w:p>
    <w:p w14:paraId="7B70E4AE" w14:textId="14829FEA" w:rsidR="00523B35" w:rsidRPr="00DE4F22" w:rsidRDefault="00B25B41" w:rsidP="009E74B1">
      <w:pPr>
        <w:pStyle w:val="Heading2"/>
        <w:numPr>
          <w:ilvl w:val="0"/>
          <w:numId w:val="34"/>
        </w:numPr>
        <w:rPr>
          <w:rFonts w:ascii="Times New Roman" w:eastAsia="Georgia" w:hAnsi="Times New Roman" w:cs="Times New Roman"/>
          <w:b/>
          <w:bCs/>
          <w:color w:val="000000" w:themeColor="text1"/>
          <w:sz w:val="24"/>
          <w:szCs w:val="32"/>
          <w:lang w:eastAsia="hr-HR"/>
        </w:rPr>
      </w:pPr>
      <w:bookmarkStart w:id="8" w:name="_Toc195614776"/>
      <w:r w:rsidRPr="00DE4F22">
        <w:rPr>
          <w:rFonts w:ascii="Times New Roman" w:eastAsia="Georgia" w:hAnsi="Times New Roman" w:cs="Times New Roman"/>
          <w:b/>
          <w:bCs/>
          <w:color w:val="000000" w:themeColor="text1"/>
          <w:sz w:val="24"/>
          <w:szCs w:val="32"/>
          <w:lang w:eastAsia="hr-HR"/>
        </w:rPr>
        <w:t>OBAVEZE IZ PRETHODNE POSLOVNE GODINE</w:t>
      </w:r>
      <w:bookmarkEnd w:id="8"/>
    </w:p>
    <w:p w14:paraId="082CD4DA" w14:textId="10120354" w:rsidR="00AD2533" w:rsidRPr="00DE4F22" w:rsidRDefault="00B25B41" w:rsidP="00AD2533">
      <w:pPr>
        <w:rPr>
          <w:rFonts w:eastAsia="Georgia"/>
          <w:b/>
          <w:bCs/>
          <w:color w:val="000000" w:themeColor="text1"/>
          <w:szCs w:val="32"/>
        </w:rPr>
      </w:pPr>
      <w:r w:rsidRPr="00DE4F22">
        <w:rPr>
          <w:rFonts w:eastAsia="Georgia"/>
          <w:b/>
          <w:bCs/>
          <w:color w:val="000000" w:themeColor="text1"/>
          <w:szCs w:val="32"/>
        </w:rPr>
        <w:t>3.1. Ostale obaveze iz poslovanja</w:t>
      </w:r>
    </w:p>
    <w:p w14:paraId="59C2EDC7" w14:textId="77777777" w:rsidR="00A0465E" w:rsidRPr="00DE4F22" w:rsidRDefault="00A0465E" w:rsidP="00A0465E">
      <w:pPr>
        <w:jc w:val="both"/>
        <w:rPr>
          <w:rFonts w:eastAsia="Georgia"/>
          <w:color w:val="000000" w:themeColor="text1"/>
          <w:szCs w:val="32"/>
        </w:rPr>
      </w:pPr>
    </w:p>
    <w:p w14:paraId="5019C92F" w14:textId="29C37580" w:rsidR="00FC18F6" w:rsidRPr="00FC18F6" w:rsidRDefault="002B205B" w:rsidP="00FC18F6">
      <w:pPr>
        <w:rPr>
          <w:rFonts w:eastAsia="Georgia"/>
          <w:color w:val="000000"/>
        </w:rPr>
      </w:pPr>
      <w:r w:rsidRPr="00FC18F6">
        <w:rPr>
          <w:rFonts w:eastAsia="Georgia"/>
          <w:color w:val="000000" w:themeColor="text1"/>
          <w:szCs w:val="32"/>
        </w:rPr>
        <w:t xml:space="preserve">Za </w:t>
      </w:r>
      <w:r w:rsidR="00FC18F6" w:rsidRPr="00FC18F6">
        <w:rPr>
          <w:rFonts w:eastAsia="Georgia"/>
          <w:color w:val="000000"/>
        </w:rPr>
        <w:t>Ugovor o finansijskom lizingu za nabavku opreme (vozila), potpisanog 31.12.2020. godine</w:t>
      </w:r>
      <w:r w:rsidR="00FC18F6">
        <w:rPr>
          <w:rFonts w:eastAsia="Georgia"/>
          <w:color w:val="000000"/>
        </w:rPr>
        <w:t xml:space="preserve"> preostali dug u iznosu od 5.133,00</w:t>
      </w:r>
      <w:r w:rsidR="00FC18F6" w:rsidRPr="00DE4F22">
        <w:rPr>
          <w:rFonts w:eastAsia="Georgia"/>
        </w:rPr>
        <w:t>€</w:t>
      </w:r>
      <w:r w:rsidR="00FC18F6">
        <w:rPr>
          <w:rFonts w:eastAsia="Georgia"/>
        </w:rPr>
        <w:t xml:space="preserve"> isplatiće se u ovoj godini.</w:t>
      </w:r>
    </w:p>
    <w:p w14:paraId="44A30680" w14:textId="0847FC93" w:rsidR="00B05CC2" w:rsidRPr="00DE4F22" w:rsidRDefault="00B05CC2" w:rsidP="00AD2533">
      <w:pPr>
        <w:jc w:val="both"/>
        <w:rPr>
          <w:rFonts w:eastAsia="Georgia"/>
          <w:color w:val="000000" w:themeColor="text1"/>
          <w:szCs w:val="32"/>
        </w:rPr>
      </w:pPr>
    </w:p>
    <w:p w14:paraId="6424921E" w14:textId="502C1602" w:rsidR="00FE6D09" w:rsidRPr="00DE4F22" w:rsidRDefault="008427B4" w:rsidP="002066F6">
      <w:pPr>
        <w:jc w:val="both"/>
        <w:rPr>
          <w:rFonts w:eastAsia="Georgia"/>
          <w:b/>
          <w:bCs/>
          <w:color w:val="000000"/>
          <w:szCs w:val="32"/>
        </w:rPr>
      </w:pPr>
      <w:r w:rsidRPr="00DE4F22">
        <w:rPr>
          <w:rFonts w:eastAsia="Georgia"/>
          <w:b/>
          <w:bCs/>
          <w:color w:val="000000"/>
          <w:szCs w:val="32"/>
        </w:rPr>
        <w:t>3.2.</w:t>
      </w:r>
      <w:r w:rsidRPr="00DE4F22">
        <w:rPr>
          <w:rFonts w:eastAsia="Georgia"/>
          <w:color w:val="000000"/>
          <w:szCs w:val="32"/>
        </w:rPr>
        <w:t xml:space="preserve"> </w:t>
      </w:r>
      <w:r w:rsidRPr="00DE4F22">
        <w:rPr>
          <w:rFonts w:eastAsia="Georgia"/>
          <w:b/>
          <w:bCs/>
          <w:color w:val="000000"/>
          <w:szCs w:val="32"/>
        </w:rPr>
        <w:t>Rezervisana sredstva povodom sudskih sporova</w:t>
      </w:r>
    </w:p>
    <w:p w14:paraId="3A96B625" w14:textId="08C59B9E" w:rsidR="008427B4" w:rsidRDefault="00FE6D09" w:rsidP="002066F6">
      <w:pPr>
        <w:jc w:val="both"/>
        <w:rPr>
          <w:rFonts w:eastAsia="Georgia"/>
          <w:color w:val="000000"/>
          <w:szCs w:val="32"/>
        </w:rPr>
      </w:pPr>
      <w:r w:rsidRPr="00DE4F22">
        <w:rPr>
          <w:rFonts w:eastAsia="Georgia"/>
          <w:color w:val="000000"/>
          <w:szCs w:val="32"/>
        </w:rPr>
        <w:t xml:space="preserve">Po osnovu sudskih sporova rezervisana su sredstva u iznosu od </w:t>
      </w:r>
      <w:r w:rsidR="00FC18F6">
        <w:rPr>
          <w:rFonts w:eastAsia="Georgia"/>
          <w:color w:val="000000"/>
          <w:szCs w:val="32"/>
        </w:rPr>
        <w:t>7</w:t>
      </w:r>
      <w:r w:rsidR="001C0261" w:rsidRPr="00DE4F22">
        <w:rPr>
          <w:rFonts w:eastAsia="Georgia"/>
          <w:color w:val="000000"/>
          <w:szCs w:val="32"/>
        </w:rPr>
        <w:t>1.</w:t>
      </w:r>
      <w:r w:rsidR="00FC18F6">
        <w:rPr>
          <w:rFonts w:eastAsia="Georgia"/>
          <w:color w:val="000000"/>
          <w:szCs w:val="32"/>
        </w:rPr>
        <w:t>069</w:t>
      </w:r>
      <w:r w:rsidRPr="00DE4F22">
        <w:rPr>
          <w:rFonts w:eastAsia="Georgia"/>
          <w:color w:val="000000"/>
          <w:szCs w:val="32"/>
        </w:rPr>
        <w:t xml:space="preserve">,00€. Rezervisanje </w:t>
      </w:r>
      <w:r w:rsidR="008427B4" w:rsidRPr="00DE4F22">
        <w:rPr>
          <w:rFonts w:eastAsia="Georgia"/>
          <w:color w:val="000000"/>
          <w:szCs w:val="32"/>
        </w:rPr>
        <w:t xml:space="preserve">povodom sudskog spora sa prethodnim </w:t>
      </w:r>
      <w:r w:rsidR="00DE5DCF" w:rsidRPr="00DE4F22">
        <w:rPr>
          <w:rFonts w:eastAsia="Georgia"/>
          <w:color w:val="000000"/>
          <w:szCs w:val="32"/>
        </w:rPr>
        <w:t>I</w:t>
      </w:r>
      <w:r w:rsidR="008427B4" w:rsidRPr="00DE4F22">
        <w:rPr>
          <w:rFonts w:eastAsia="Georgia"/>
          <w:color w:val="000000"/>
          <w:szCs w:val="32"/>
        </w:rPr>
        <w:t>zvršnim direktorom koji se vodi kod nadležnog suda</w:t>
      </w:r>
      <w:r w:rsidR="00DA2375">
        <w:rPr>
          <w:rFonts w:eastAsia="Georgia"/>
          <w:color w:val="000000"/>
          <w:szCs w:val="32"/>
        </w:rPr>
        <w:t xml:space="preserve"> i </w:t>
      </w:r>
      <w:r w:rsidR="00FC18F6">
        <w:rPr>
          <w:rFonts w:eastAsia="Georgia"/>
          <w:color w:val="000000"/>
          <w:szCs w:val="32"/>
        </w:rPr>
        <w:t>rezervisanje za spor koji je u toku, a vodi se izmedju Eko fonda i bivše zaposlene.</w:t>
      </w:r>
    </w:p>
    <w:p w14:paraId="4A7FD2EF" w14:textId="77777777" w:rsidR="00DA2375" w:rsidRDefault="00DA2375" w:rsidP="002066F6">
      <w:pPr>
        <w:jc w:val="both"/>
        <w:rPr>
          <w:rFonts w:eastAsia="Georgia"/>
          <w:color w:val="000000"/>
          <w:szCs w:val="32"/>
        </w:rPr>
      </w:pPr>
    </w:p>
    <w:p w14:paraId="72C272B3" w14:textId="36E9C421" w:rsidR="00A95A60" w:rsidRDefault="00A95A60" w:rsidP="002066F6">
      <w:pPr>
        <w:jc w:val="both"/>
        <w:rPr>
          <w:rFonts w:eastAsia="Georgia"/>
          <w:b/>
          <w:bCs/>
          <w:color w:val="000000"/>
          <w:szCs w:val="32"/>
        </w:rPr>
      </w:pPr>
      <w:r w:rsidRPr="00A95A60">
        <w:rPr>
          <w:rFonts w:eastAsia="Georgia"/>
          <w:b/>
          <w:bCs/>
          <w:color w:val="000000"/>
          <w:szCs w:val="32"/>
        </w:rPr>
        <w:t>3.3. Rezervisana sredstva po osnovu prigovora Korisnika</w:t>
      </w:r>
    </w:p>
    <w:p w14:paraId="42D66C21" w14:textId="2BD1B9C2" w:rsidR="00D474B9" w:rsidRPr="00034D07" w:rsidRDefault="00034D07" w:rsidP="002066F6">
      <w:pPr>
        <w:jc w:val="both"/>
        <w:rPr>
          <w:rFonts w:eastAsia="Georgia"/>
          <w:color w:val="000000"/>
          <w:szCs w:val="32"/>
        </w:rPr>
      </w:pPr>
      <w:r w:rsidRPr="00034D07">
        <w:rPr>
          <w:rFonts w:eastAsia="Georgia"/>
          <w:color w:val="000000"/>
          <w:szCs w:val="32"/>
        </w:rPr>
        <w:lastRenderedPageBreak/>
        <w:t>Po osnovu mogućih prigovora</w:t>
      </w:r>
      <w:r>
        <w:rPr>
          <w:rFonts w:eastAsia="Georgia"/>
          <w:color w:val="000000"/>
          <w:szCs w:val="32"/>
        </w:rPr>
        <w:t xml:space="preserve"> Korisnika</w:t>
      </w:r>
      <w:r w:rsidRPr="00034D07">
        <w:rPr>
          <w:rFonts w:eastAsia="Georgia"/>
          <w:color w:val="000000"/>
          <w:szCs w:val="32"/>
        </w:rPr>
        <w:t xml:space="preserve"> rezervisali smo sredstva u iznosu od 100.000,00</w:t>
      </w:r>
      <w:r w:rsidRPr="00034D07">
        <w:rPr>
          <w:rFonts w:eastAsia="Georgia"/>
          <w:color w:val="000000"/>
        </w:rPr>
        <w:t>€</w:t>
      </w:r>
      <w:r>
        <w:rPr>
          <w:rFonts w:eastAsia="Georgia"/>
          <w:color w:val="000000"/>
        </w:rPr>
        <w:t>.</w:t>
      </w:r>
    </w:p>
    <w:p w14:paraId="795569BC" w14:textId="77777777" w:rsidR="00875FB4" w:rsidRPr="00034D07" w:rsidRDefault="00875FB4" w:rsidP="002066F6">
      <w:pPr>
        <w:jc w:val="both"/>
        <w:rPr>
          <w:rFonts w:eastAsia="Georgia"/>
          <w:color w:val="000000"/>
          <w:szCs w:val="32"/>
        </w:rPr>
      </w:pPr>
    </w:p>
    <w:p w14:paraId="36FEFACA" w14:textId="07738B63" w:rsidR="008427B4" w:rsidRPr="00DE4F22" w:rsidRDefault="008427B4" w:rsidP="002066F6">
      <w:pPr>
        <w:jc w:val="both"/>
        <w:rPr>
          <w:rFonts w:eastAsia="Georgia"/>
          <w:b/>
          <w:bCs/>
          <w:color w:val="000000"/>
          <w:szCs w:val="32"/>
        </w:rPr>
      </w:pPr>
      <w:r w:rsidRPr="00DE4F22">
        <w:rPr>
          <w:rFonts w:eastAsia="Georgia"/>
          <w:b/>
          <w:bCs/>
          <w:color w:val="000000"/>
          <w:szCs w:val="32"/>
        </w:rPr>
        <w:t>3.</w:t>
      </w:r>
      <w:r w:rsidR="00A95A60">
        <w:rPr>
          <w:rFonts w:eastAsia="Georgia"/>
          <w:b/>
          <w:bCs/>
          <w:color w:val="000000"/>
          <w:szCs w:val="32"/>
        </w:rPr>
        <w:t>4</w:t>
      </w:r>
      <w:r w:rsidRPr="00DE4F22">
        <w:rPr>
          <w:rFonts w:eastAsia="Georgia"/>
          <w:b/>
          <w:bCs/>
          <w:color w:val="000000"/>
          <w:szCs w:val="32"/>
        </w:rPr>
        <w:t>.</w:t>
      </w:r>
      <w:r w:rsidRPr="00DE4F22">
        <w:rPr>
          <w:b/>
          <w:bCs/>
        </w:rPr>
        <w:t xml:space="preserve"> </w:t>
      </w:r>
      <w:r w:rsidRPr="00DE4F22">
        <w:rPr>
          <w:rFonts w:eastAsia="Georgia"/>
          <w:b/>
          <w:bCs/>
          <w:color w:val="000000"/>
          <w:szCs w:val="32"/>
        </w:rPr>
        <w:t>Obaveze za porez na dobit za 202</w:t>
      </w:r>
      <w:r w:rsidR="00A95A60">
        <w:rPr>
          <w:rFonts w:eastAsia="Georgia"/>
          <w:b/>
          <w:bCs/>
          <w:color w:val="000000"/>
          <w:szCs w:val="32"/>
        </w:rPr>
        <w:t>4</w:t>
      </w:r>
      <w:r w:rsidRPr="00DE4F22">
        <w:rPr>
          <w:rFonts w:eastAsia="Georgia"/>
          <w:b/>
          <w:bCs/>
          <w:color w:val="000000"/>
          <w:szCs w:val="32"/>
        </w:rPr>
        <w:t>. godinu</w:t>
      </w:r>
    </w:p>
    <w:p w14:paraId="6EE7F830" w14:textId="75368222" w:rsidR="008427B4" w:rsidRPr="00DE4F22" w:rsidRDefault="002A0F7E" w:rsidP="00005750">
      <w:pPr>
        <w:spacing w:after="240"/>
        <w:rPr>
          <w:rFonts w:eastAsia="Georgia"/>
          <w:color w:val="000000"/>
          <w:szCs w:val="32"/>
        </w:rPr>
      </w:pPr>
      <w:r w:rsidRPr="00DE4F22">
        <w:rPr>
          <w:rFonts w:eastAsia="Georgia"/>
          <w:color w:val="000000"/>
          <w:szCs w:val="32"/>
        </w:rPr>
        <w:t xml:space="preserve">Iznos od </w:t>
      </w:r>
      <w:r w:rsidR="004C7CE5" w:rsidRPr="00DE4F22">
        <w:rPr>
          <w:rFonts w:eastAsia="Georgia"/>
          <w:color w:val="000000"/>
          <w:szCs w:val="32"/>
        </w:rPr>
        <w:t>5</w:t>
      </w:r>
      <w:r w:rsidR="00A95A60">
        <w:rPr>
          <w:rFonts w:eastAsia="Georgia"/>
          <w:color w:val="000000"/>
          <w:szCs w:val="32"/>
        </w:rPr>
        <w:t>50</w:t>
      </w:r>
      <w:r w:rsidR="00D41473" w:rsidRPr="00DE4F22">
        <w:rPr>
          <w:rFonts w:eastAsia="Georgia"/>
          <w:color w:val="000000"/>
          <w:szCs w:val="32"/>
        </w:rPr>
        <w:t>.</w:t>
      </w:r>
      <w:r w:rsidR="004C7CE5" w:rsidRPr="00DE4F22">
        <w:rPr>
          <w:rFonts w:eastAsia="Georgia"/>
          <w:color w:val="000000"/>
          <w:szCs w:val="32"/>
        </w:rPr>
        <w:t>0</w:t>
      </w:r>
      <w:r w:rsidR="00D41473" w:rsidRPr="00DE4F22">
        <w:rPr>
          <w:rFonts w:eastAsia="Georgia"/>
          <w:color w:val="000000"/>
          <w:szCs w:val="32"/>
        </w:rPr>
        <w:t>00</w:t>
      </w:r>
      <w:r w:rsidRPr="00DE4F22">
        <w:rPr>
          <w:rFonts w:eastAsia="Georgia"/>
          <w:color w:val="000000"/>
          <w:szCs w:val="32"/>
        </w:rPr>
        <w:t>,00</w:t>
      </w:r>
      <w:r w:rsidR="0084692A" w:rsidRPr="00DE4F22">
        <w:rPr>
          <w:rFonts w:eastAsia="Georgia"/>
          <w:color w:val="000000"/>
          <w:szCs w:val="32"/>
        </w:rPr>
        <w:t>€ biće iskorišćen za izmirenje Poreza na dobit za 202</w:t>
      </w:r>
      <w:r w:rsidR="00034D07">
        <w:rPr>
          <w:rFonts w:eastAsia="Georgia"/>
          <w:color w:val="000000"/>
          <w:szCs w:val="32"/>
        </w:rPr>
        <w:t>4</w:t>
      </w:r>
      <w:r w:rsidR="0084692A" w:rsidRPr="00DE4F22">
        <w:rPr>
          <w:rFonts w:eastAsia="Georgia"/>
          <w:color w:val="000000"/>
          <w:szCs w:val="32"/>
        </w:rPr>
        <w:t>. godinu.</w:t>
      </w:r>
    </w:p>
    <w:p w14:paraId="54293D5A" w14:textId="4A9EC5C4" w:rsidR="0084692A" w:rsidRPr="00DE4F22" w:rsidRDefault="0084692A" w:rsidP="009E74B1">
      <w:pPr>
        <w:pStyle w:val="Heading2"/>
        <w:numPr>
          <w:ilvl w:val="0"/>
          <w:numId w:val="34"/>
        </w:numPr>
        <w:rPr>
          <w:rFonts w:ascii="Times New Roman" w:eastAsia="Georgia" w:hAnsi="Times New Roman" w:cs="Times New Roman"/>
          <w:b/>
          <w:bCs/>
          <w:color w:val="000000"/>
          <w:sz w:val="24"/>
          <w:szCs w:val="32"/>
          <w:lang w:eastAsia="hr-HR"/>
        </w:rPr>
      </w:pPr>
      <w:bookmarkStart w:id="9" w:name="_Toc195614777"/>
      <w:r w:rsidRPr="00DE4F22">
        <w:rPr>
          <w:rFonts w:ascii="Times New Roman" w:eastAsia="Georgia" w:hAnsi="Times New Roman" w:cs="Times New Roman"/>
          <w:b/>
          <w:bCs/>
          <w:color w:val="000000"/>
          <w:sz w:val="24"/>
          <w:szCs w:val="32"/>
          <w:lang w:eastAsia="hr-HR"/>
        </w:rPr>
        <w:t>OBAVEZA ZA POREZ NA DOBIT</w:t>
      </w:r>
      <w:bookmarkEnd w:id="9"/>
    </w:p>
    <w:p w14:paraId="4D237F89" w14:textId="20B84E7D" w:rsidR="00005750" w:rsidRPr="00DE4F22" w:rsidRDefault="00005750" w:rsidP="00005750">
      <w:pPr>
        <w:spacing w:after="240"/>
        <w:jc w:val="both"/>
        <w:rPr>
          <w:rFonts w:eastAsia="Georgia"/>
          <w:color w:val="000000"/>
          <w:szCs w:val="32"/>
        </w:rPr>
      </w:pPr>
      <w:r w:rsidRPr="00DE4F22">
        <w:rPr>
          <w:rFonts w:eastAsia="Georgia"/>
          <w:color w:val="000000"/>
          <w:szCs w:val="32"/>
        </w:rPr>
        <w:t xml:space="preserve">Sredstva u iznosu od </w:t>
      </w:r>
      <w:r w:rsidR="004C7CE5" w:rsidRPr="00DE4F22">
        <w:rPr>
          <w:rFonts w:eastAsia="Georgia"/>
          <w:color w:val="000000"/>
          <w:szCs w:val="32"/>
        </w:rPr>
        <w:t>1</w:t>
      </w:r>
      <w:r w:rsidR="00D27E55" w:rsidRPr="00DE4F22">
        <w:rPr>
          <w:rFonts w:eastAsia="Georgia"/>
          <w:color w:val="000000"/>
          <w:szCs w:val="32"/>
        </w:rPr>
        <w:t>.</w:t>
      </w:r>
      <w:r w:rsidR="00A95A60">
        <w:rPr>
          <w:rFonts w:eastAsia="Georgia"/>
          <w:color w:val="000000"/>
          <w:szCs w:val="32"/>
        </w:rPr>
        <w:t>095</w:t>
      </w:r>
      <w:r w:rsidR="004C7CE5" w:rsidRPr="00DE4F22">
        <w:rPr>
          <w:rFonts w:eastAsia="Georgia"/>
          <w:color w:val="000000"/>
          <w:szCs w:val="32"/>
        </w:rPr>
        <w:t>.000</w:t>
      </w:r>
      <w:r w:rsidR="00D27E55" w:rsidRPr="00DE4F22">
        <w:rPr>
          <w:rFonts w:eastAsia="Georgia"/>
          <w:color w:val="000000"/>
          <w:szCs w:val="32"/>
        </w:rPr>
        <w:t>,</w:t>
      </w:r>
      <w:r w:rsidR="00A95A60">
        <w:rPr>
          <w:rFonts w:eastAsia="Georgia"/>
          <w:color w:val="000000"/>
          <w:szCs w:val="32"/>
        </w:rPr>
        <w:t>00</w:t>
      </w:r>
      <w:r w:rsidR="00D41473" w:rsidRPr="00DE4F22">
        <w:rPr>
          <w:rFonts w:eastAsia="Georgia"/>
          <w:color w:val="000000"/>
          <w:szCs w:val="32"/>
        </w:rPr>
        <w:t xml:space="preserve">€ </w:t>
      </w:r>
      <w:r w:rsidRPr="00DE4F22">
        <w:rPr>
          <w:rFonts w:eastAsia="Georgia"/>
          <w:color w:val="000000"/>
          <w:szCs w:val="32"/>
        </w:rPr>
        <w:t>neće se iskoristiti za realizaciju projekata u 202</w:t>
      </w:r>
      <w:r w:rsidR="00A95A60">
        <w:rPr>
          <w:rFonts w:eastAsia="Georgia"/>
          <w:color w:val="000000"/>
          <w:szCs w:val="32"/>
        </w:rPr>
        <w:t>5</w:t>
      </w:r>
      <w:r w:rsidRPr="00DE4F22">
        <w:rPr>
          <w:rFonts w:eastAsia="Georgia"/>
          <w:color w:val="000000"/>
          <w:szCs w:val="32"/>
        </w:rPr>
        <w:t>. godini, već će u tom iznosu biti plaćen porez na dobit (obaveza za plaćanje dospijeva u martu 202</w:t>
      </w:r>
      <w:r w:rsidR="00A95A60">
        <w:rPr>
          <w:rFonts w:eastAsia="Georgia"/>
          <w:color w:val="000000"/>
          <w:szCs w:val="32"/>
        </w:rPr>
        <w:t>6</w:t>
      </w:r>
      <w:r w:rsidRPr="00DE4F22">
        <w:rPr>
          <w:rFonts w:eastAsia="Georgia"/>
          <w:color w:val="000000"/>
          <w:szCs w:val="32"/>
        </w:rPr>
        <w:t>. godine)</w:t>
      </w:r>
    </w:p>
    <w:p w14:paraId="65E07C70" w14:textId="31672419" w:rsidR="0084692A" w:rsidRPr="00DE4F22" w:rsidRDefault="0084692A" w:rsidP="009E74B1">
      <w:pPr>
        <w:pStyle w:val="Heading2"/>
        <w:numPr>
          <w:ilvl w:val="0"/>
          <w:numId w:val="34"/>
        </w:numPr>
        <w:rPr>
          <w:rFonts w:ascii="Times New Roman" w:eastAsia="Georgia" w:hAnsi="Times New Roman" w:cs="Times New Roman"/>
          <w:b/>
          <w:bCs/>
          <w:color w:val="000000"/>
          <w:sz w:val="24"/>
          <w:szCs w:val="32"/>
          <w:lang w:eastAsia="hr-HR"/>
        </w:rPr>
      </w:pPr>
      <w:bookmarkStart w:id="10" w:name="_Toc195614778"/>
      <w:r w:rsidRPr="00DE4F22">
        <w:rPr>
          <w:rFonts w:ascii="Times New Roman" w:eastAsia="Georgia" w:hAnsi="Times New Roman" w:cs="Times New Roman"/>
          <w:b/>
          <w:bCs/>
          <w:color w:val="000000"/>
          <w:sz w:val="24"/>
          <w:szCs w:val="32"/>
          <w:lang w:eastAsia="hr-HR"/>
        </w:rPr>
        <w:t>STANJE NA KRAJU GODINE</w:t>
      </w:r>
      <w:bookmarkEnd w:id="10"/>
    </w:p>
    <w:p w14:paraId="291925EA" w14:textId="6CB04D29" w:rsidR="00D27E55" w:rsidRPr="00DE4F22" w:rsidRDefault="00D27E55" w:rsidP="007077A7">
      <w:pPr>
        <w:spacing w:after="240"/>
        <w:contextualSpacing/>
        <w:jc w:val="both"/>
        <w:rPr>
          <w:rFonts w:eastAsia="Georgia"/>
          <w:color w:val="000000"/>
          <w:szCs w:val="32"/>
        </w:rPr>
      </w:pPr>
      <w:r w:rsidRPr="00DE4F22">
        <w:rPr>
          <w:rFonts w:eastAsia="Georgia"/>
          <w:color w:val="000000"/>
          <w:szCs w:val="32"/>
        </w:rPr>
        <w:t xml:space="preserve">Iznos od </w:t>
      </w:r>
      <w:r w:rsidR="00A95A60">
        <w:rPr>
          <w:rFonts w:eastAsia="Georgia"/>
          <w:color w:val="000000"/>
          <w:szCs w:val="32"/>
        </w:rPr>
        <w:t>268</w:t>
      </w:r>
      <w:r w:rsidR="00A956ED" w:rsidRPr="00DE4F22">
        <w:rPr>
          <w:rFonts w:eastAsia="Georgia"/>
          <w:color w:val="000000"/>
          <w:szCs w:val="32"/>
        </w:rPr>
        <w:t>.</w:t>
      </w:r>
      <w:r w:rsidR="00A95A60">
        <w:rPr>
          <w:rFonts w:eastAsia="Georgia"/>
          <w:color w:val="000000"/>
          <w:szCs w:val="32"/>
        </w:rPr>
        <w:t>397</w:t>
      </w:r>
      <w:r w:rsidR="00A956ED" w:rsidRPr="00DE4F22">
        <w:rPr>
          <w:rFonts w:eastAsia="Georgia"/>
          <w:color w:val="000000"/>
          <w:szCs w:val="32"/>
        </w:rPr>
        <w:t>,</w:t>
      </w:r>
      <w:r w:rsidR="00A95A60">
        <w:rPr>
          <w:rFonts w:eastAsia="Georgia"/>
          <w:color w:val="000000"/>
          <w:szCs w:val="32"/>
        </w:rPr>
        <w:t>0</w:t>
      </w:r>
      <w:r w:rsidR="00D41252" w:rsidRPr="00DE4F22">
        <w:rPr>
          <w:rFonts w:eastAsia="Georgia"/>
          <w:color w:val="000000"/>
          <w:szCs w:val="32"/>
        </w:rPr>
        <w:t>0</w:t>
      </w:r>
      <w:r w:rsidRPr="00DE4F22">
        <w:rPr>
          <w:rFonts w:eastAsia="Georgia"/>
          <w:color w:val="000000"/>
          <w:szCs w:val="32"/>
        </w:rPr>
        <w:t>€ iskoristiće se za finansiranje poslovnih aktivnosti u prvom kvartalu 202</w:t>
      </w:r>
      <w:r w:rsidR="00A95A60">
        <w:rPr>
          <w:rFonts w:eastAsia="Georgia"/>
          <w:color w:val="000000"/>
          <w:szCs w:val="32"/>
        </w:rPr>
        <w:t>6</w:t>
      </w:r>
      <w:r w:rsidRPr="00DE4F22">
        <w:rPr>
          <w:rFonts w:eastAsia="Georgia"/>
          <w:color w:val="000000"/>
          <w:szCs w:val="32"/>
        </w:rPr>
        <w:t>. godine.</w:t>
      </w:r>
    </w:p>
    <w:p w14:paraId="1D6CC147" w14:textId="013DA8F9" w:rsidR="00695808" w:rsidRPr="00DE4F22" w:rsidRDefault="00A956ED" w:rsidP="009E74B1">
      <w:pPr>
        <w:pStyle w:val="Heading2"/>
        <w:shd w:val="clear" w:color="auto" w:fill="2F5496" w:themeFill="accent1" w:themeFillShade="BF"/>
        <w:rPr>
          <w:rFonts w:eastAsia="Georgia"/>
        </w:rPr>
      </w:pPr>
      <w:bookmarkStart w:id="11" w:name="_Toc195614779"/>
      <w:r w:rsidRPr="00DE4F22">
        <w:rPr>
          <w:rFonts w:eastAsia="Georgia"/>
          <w:color w:val="FFFFFF" w:themeColor="background1"/>
        </w:rPr>
        <w:t xml:space="preserve">IV </w:t>
      </w:r>
      <w:r w:rsidR="009C2EB0" w:rsidRPr="00DE4F22">
        <w:rPr>
          <w:rFonts w:eastAsia="Georgia"/>
          <w:color w:val="FFFFFF" w:themeColor="background1"/>
        </w:rPr>
        <w:t>REALIZACIJA FINANSIJSKOG PLANA</w:t>
      </w:r>
      <w:bookmarkEnd w:id="11"/>
      <w:r w:rsidR="009C2EB0" w:rsidRPr="00DE4F22">
        <w:rPr>
          <w:rFonts w:eastAsia="Georgia"/>
        </w:rPr>
        <w:tab/>
      </w:r>
    </w:p>
    <w:p w14:paraId="703F8C8B" w14:textId="15798996" w:rsidR="00695808" w:rsidRPr="00DE4F22" w:rsidRDefault="009C2EB0" w:rsidP="007077A7">
      <w:pPr>
        <w:pBdr>
          <w:top w:val="nil"/>
          <w:left w:val="nil"/>
          <w:bottom w:val="nil"/>
          <w:right w:val="nil"/>
          <w:between w:val="nil"/>
        </w:pBdr>
        <w:spacing w:before="240" w:after="240"/>
        <w:jc w:val="both"/>
        <w:rPr>
          <w:rFonts w:eastAsia="Georgia"/>
          <w:color w:val="000000"/>
        </w:rPr>
      </w:pPr>
      <w:r w:rsidRPr="00DE4F22">
        <w:rPr>
          <w:rFonts w:eastAsia="Georgia"/>
          <w:color w:val="000000"/>
        </w:rPr>
        <w:t>Za realizaciju Finansijskog plana za 202</w:t>
      </w:r>
      <w:r w:rsidR="00A95A60">
        <w:rPr>
          <w:rFonts w:eastAsia="Georgia"/>
          <w:color w:val="000000"/>
        </w:rPr>
        <w:t>5</w:t>
      </w:r>
      <w:r w:rsidRPr="00DE4F22">
        <w:rPr>
          <w:rFonts w:eastAsia="Georgia"/>
          <w:color w:val="000000"/>
        </w:rPr>
        <w:t xml:space="preserve">. godinu, odgovoran je </w:t>
      </w:r>
      <w:r w:rsidR="00DE5DCF" w:rsidRPr="00DE4F22">
        <w:rPr>
          <w:rFonts w:eastAsia="Georgia"/>
          <w:color w:val="000000"/>
        </w:rPr>
        <w:t>I</w:t>
      </w:r>
      <w:r w:rsidRPr="00DE4F22">
        <w:rPr>
          <w:rFonts w:eastAsia="Georgia"/>
          <w:color w:val="000000"/>
        </w:rPr>
        <w:t xml:space="preserve">zvršni direktor </w:t>
      </w:r>
      <w:r w:rsidR="00CE0E99" w:rsidRPr="00DE4F22">
        <w:rPr>
          <w:rFonts w:eastAsia="Georgia"/>
          <w:color w:val="000000"/>
        </w:rPr>
        <w:t>Eko-fond</w:t>
      </w:r>
      <w:r w:rsidRPr="00DE4F22">
        <w:rPr>
          <w:rFonts w:eastAsia="Georgia"/>
          <w:color w:val="000000"/>
        </w:rPr>
        <w:t>a</w:t>
      </w:r>
      <w:r w:rsidR="00CA13D3" w:rsidRPr="00DE4F22">
        <w:rPr>
          <w:rFonts w:eastAsia="Georgia"/>
          <w:color w:val="000000"/>
        </w:rPr>
        <w:t>. Izvršni direktor</w:t>
      </w:r>
      <w:r w:rsidRPr="00DE4F22">
        <w:rPr>
          <w:rFonts w:eastAsia="Georgia"/>
          <w:color w:val="000000"/>
        </w:rPr>
        <w:t xml:space="preserve"> prijedlog</w:t>
      </w:r>
      <w:r w:rsidR="00CA13D3" w:rsidRPr="00DE4F22">
        <w:rPr>
          <w:rFonts w:eastAsia="Georgia"/>
          <w:color w:val="000000"/>
        </w:rPr>
        <w:t xml:space="preserve"> Finansijskog plana dostavlja</w:t>
      </w:r>
      <w:r w:rsidRPr="00DE4F22">
        <w:rPr>
          <w:rFonts w:eastAsia="Georgia"/>
          <w:color w:val="000000"/>
        </w:rPr>
        <w:t xml:space="preserve"> Odboru direktora, koji ga usvaja uz prethodnu saglasnost Osnivača.</w:t>
      </w:r>
    </w:p>
    <w:p w14:paraId="61FF4AA6" w14:textId="56C81EC3" w:rsidR="00AC1E19" w:rsidRDefault="009C2EB0" w:rsidP="00AC1E19">
      <w:pPr>
        <w:pBdr>
          <w:top w:val="nil"/>
          <w:left w:val="nil"/>
          <w:bottom w:val="nil"/>
          <w:right w:val="nil"/>
          <w:between w:val="nil"/>
        </w:pBdr>
        <w:jc w:val="both"/>
        <w:rPr>
          <w:rFonts w:eastAsia="Georgia"/>
          <w:color w:val="000000"/>
        </w:rPr>
      </w:pPr>
      <w:r w:rsidRPr="00DE4F22">
        <w:rPr>
          <w:rFonts w:eastAsia="Georgia"/>
          <w:color w:val="000000"/>
        </w:rPr>
        <w:t xml:space="preserve">Raspored sredstava po ovom planu vršiće se u skladu sa donijetim odlukama, </w:t>
      </w:r>
      <w:r w:rsidR="00D66DA2">
        <w:rPr>
          <w:rFonts w:eastAsia="Georgia"/>
          <w:color w:val="000000"/>
        </w:rPr>
        <w:t>P</w:t>
      </w:r>
      <w:r w:rsidRPr="00DE4F22">
        <w:rPr>
          <w:rFonts w:eastAsia="Georgia"/>
          <w:color w:val="000000"/>
        </w:rPr>
        <w:t xml:space="preserve">rogramom i planom rada, utvrđenim kriterijumima i mjerilima, zaključenim ugovorima i drugim aktima koje donosi </w:t>
      </w:r>
      <w:r w:rsidR="00CE0E99" w:rsidRPr="00DE4F22">
        <w:rPr>
          <w:rFonts w:eastAsia="Georgia"/>
          <w:color w:val="000000"/>
        </w:rPr>
        <w:t>Eko-fond</w:t>
      </w:r>
      <w:r w:rsidRPr="00DE4F22">
        <w:rPr>
          <w:rFonts w:eastAsia="Georgia"/>
          <w:color w:val="000000"/>
        </w:rPr>
        <w:t xml:space="preserve"> u skladu sa zakonom, u cilju ostvarivanja nadležnosti i funkcije</w:t>
      </w:r>
      <w:r w:rsidR="002C134F" w:rsidRPr="00DE4F22">
        <w:rPr>
          <w:rFonts w:eastAsia="Georgia"/>
          <w:color w:val="FFFFFF" w:themeColor="background1"/>
        </w:rPr>
        <w:t xml:space="preserve">V </w:t>
      </w:r>
      <w:r w:rsidRPr="00DE4F22">
        <w:rPr>
          <w:rFonts w:eastAsia="Georgia"/>
          <w:color w:val="FFFFFF" w:themeColor="background1"/>
        </w:rPr>
        <w:t>ZAVRŠNA ODREDBA</w:t>
      </w:r>
    </w:p>
    <w:p w14:paraId="2F276584" w14:textId="7F01616A" w:rsidR="00695808" w:rsidRPr="00AC1E19" w:rsidRDefault="009C2EB0" w:rsidP="00AC1E19">
      <w:pPr>
        <w:pBdr>
          <w:top w:val="nil"/>
          <w:left w:val="nil"/>
          <w:bottom w:val="nil"/>
          <w:right w:val="nil"/>
          <w:between w:val="nil"/>
        </w:pBdr>
        <w:jc w:val="both"/>
        <w:rPr>
          <w:rFonts w:eastAsia="Georgia"/>
          <w:color w:val="000000"/>
        </w:rPr>
      </w:pPr>
      <w:r w:rsidRPr="00DE4F22">
        <w:rPr>
          <w:rFonts w:eastAsia="Georgia"/>
        </w:rPr>
        <w:t xml:space="preserve">Predlog </w:t>
      </w:r>
      <w:r w:rsidR="00D66DA2">
        <w:rPr>
          <w:rFonts w:eastAsia="Georgia"/>
        </w:rPr>
        <w:t>F</w:t>
      </w:r>
      <w:r w:rsidRPr="00DE4F22">
        <w:rPr>
          <w:rFonts w:eastAsia="Georgia"/>
        </w:rPr>
        <w:t>inansijskog plana za 202</w:t>
      </w:r>
      <w:r w:rsidR="00A95A60">
        <w:rPr>
          <w:rFonts w:eastAsia="Georgia"/>
        </w:rPr>
        <w:t>5</w:t>
      </w:r>
      <w:r w:rsidRPr="00DE4F22">
        <w:rPr>
          <w:rFonts w:eastAsia="Georgia"/>
        </w:rPr>
        <w:t xml:space="preserve">. godinu dostavlja se Osnivaču na razmatranje i </w:t>
      </w:r>
      <w:r w:rsidR="00141F01" w:rsidRPr="00DE4F22">
        <w:rPr>
          <w:rFonts w:eastAsia="Georgia"/>
        </w:rPr>
        <w:t>davanje saglasnosti.</w:t>
      </w:r>
    </w:p>
    <w:sectPr w:rsidR="00695808" w:rsidRPr="00AC1E19" w:rsidSect="00E71E0E">
      <w:type w:val="continuous"/>
      <w:pgSz w:w="11906" w:h="16838"/>
      <w:pgMar w:top="1440" w:right="1440" w:bottom="851" w:left="1440"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15CD3" w14:textId="77777777" w:rsidR="006B6E4F" w:rsidRPr="00DE4F22" w:rsidRDefault="006B6E4F">
      <w:r w:rsidRPr="00DE4F22">
        <w:separator/>
      </w:r>
    </w:p>
  </w:endnote>
  <w:endnote w:type="continuationSeparator" w:id="0">
    <w:p w14:paraId="621EA698" w14:textId="77777777" w:rsidR="006B6E4F" w:rsidRPr="00DE4F22" w:rsidRDefault="006B6E4F">
      <w:r w:rsidRPr="00DE4F2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81DA2" w14:textId="77777777" w:rsidR="00BA63C3" w:rsidRPr="00DE4F22" w:rsidRDefault="00BA63C3">
    <w:pPr>
      <w:pBdr>
        <w:top w:val="nil"/>
        <w:left w:val="nil"/>
        <w:bottom w:val="nil"/>
        <w:right w:val="nil"/>
        <w:between w:val="nil"/>
      </w:pBdr>
      <w:tabs>
        <w:tab w:val="center" w:pos="4513"/>
        <w:tab w:val="right" w:pos="9026"/>
      </w:tabs>
      <w:jc w:val="right"/>
      <w:rPr>
        <w:color w:val="000000"/>
      </w:rPr>
    </w:pPr>
    <w:r w:rsidRPr="00DE4F22">
      <w:rPr>
        <w:color w:val="000000"/>
      </w:rPr>
      <w:fldChar w:fldCharType="begin"/>
    </w:r>
    <w:r w:rsidRPr="00DE4F22">
      <w:rPr>
        <w:color w:val="000000"/>
      </w:rPr>
      <w:instrText>PAGE</w:instrText>
    </w:r>
    <w:r w:rsidRPr="00DE4F22">
      <w:rPr>
        <w:color w:val="000000"/>
      </w:rPr>
      <w:fldChar w:fldCharType="separate"/>
    </w:r>
    <w:r w:rsidR="003823AB" w:rsidRPr="00DE4F22">
      <w:rPr>
        <w:color w:val="000000"/>
      </w:rPr>
      <w:t>1</w:t>
    </w:r>
    <w:r w:rsidRPr="00DE4F22">
      <w:rPr>
        <w:color w:val="000000"/>
      </w:rPr>
      <w:fldChar w:fldCharType="end"/>
    </w:r>
  </w:p>
  <w:p w14:paraId="166591B7" w14:textId="045E78D0" w:rsidR="00BA63C3" w:rsidRPr="00DE4F22" w:rsidRDefault="00BA63C3">
    <w:pPr>
      <w:pBdr>
        <w:top w:val="nil"/>
        <w:left w:val="nil"/>
        <w:bottom w:val="nil"/>
        <w:right w:val="nil"/>
        <w:between w:val="nil"/>
      </w:pBdr>
      <w:tabs>
        <w:tab w:val="center" w:pos="4513"/>
        <w:tab w:val="right" w:pos="9026"/>
      </w:tabs>
      <w:jc w:val="center"/>
      <w:rPr>
        <w:rFonts w:eastAsia="Georgia"/>
        <w:b/>
        <w:color w:val="153056"/>
        <w:sz w:val="20"/>
        <w:szCs w:val="20"/>
      </w:rPr>
    </w:pPr>
    <w:r w:rsidRPr="00DE4F22">
      <w:rPr>
        <w:rFonts w:eastAsia="Georgia"/>
        <w:b/>
        <w:color w:val="153056"/>
        <w:sz w:val="20"/>
        <w:szCs w:val="20"/>
      </w:rPr>
      <w:t>februar, 202</w:t>
    </w:r>
    <w:r w:rsidR="00185F2E" w:rsidRPr="00DE4F22">
      <w:rPr>
        <w:rFonts w:eastAsia="Georgia"/>
        <w:b/>
        <w:color w:val="153056"/>
        <w:sz w:val="20"/>
        <w:szCs w:val="20"/>
      </w:rPr>
      <w:t>3</w:t>
    </w:r>
    <w:r w:rsidRPr="00DE4F22">
      <w:rPr>
        <w:rFonts w:eastAsia="Georgia"/>
        <w:b/>
        <w:color w:val="153056"/>
        <w:sz w:val="20"/>
        <w:szCs w:val="20"/>
      </w:rPr>
      <w:t>. godine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B00C" w14:textId="68CC55FA" w:rsidR="00BA63C3" w:rsidRPr="00DE4F22" w:rsidRDefault="00E830AD" w:rsidP="00BB2348">
    <w:pPr>
      <w:pBdr>
        <w:top w:val="nil"/>
        <w:left w:val="nil"/>
        <w:bottom w:val="nil"/>
        <w:right w:val="nil"/>
        <w:between w:val="nil"/>
      </w:pBdr>
      <w:tabs>
        <w:tab w:val="center" w:pos="4513"/>
        <w:tab w:val="right" w:pos="9026"/>
      </w:tabs>
      <w:jc w:val="center"/>
      <w:rPr>
        <w:rFonts w:eastAsia="Lato"/>
        <w:b/>
        <w:color w:val="153056"/>
        <w:sz w:val="20"/>
        <w:szCs w:val="20"/>
      </w:rPr>
    </w:pPr>
    <w:r w:rsidRPr="00DE4F22">
      <w:rPr>
        <w:rFonts w:eastAsia="Lato"/>
        <w:b/>
        <w:color w:val="153056"/>
        <w:sz w:val="20"/>
        <w:szCs w:val="20"/>
      </w:rPr>
      <w:t>Ma</w:t>
    </w:r>
    <w:r w:rsidR="00E552C5" w:rsidRPr="00DE4F22">
      <w:rPr>
        <w:rFonts w:eastAsia="Lato"/>
        <w:b/>
        <w:color w:val="153056"/>
        <w:sz w:val="20"/>
        <w:szCs w:val="20"/>
      </w:rPr>
      <w:t>rt</w:t>
    </w:r>
    <w:r w:rsidR="00BA63C3" w:rsidRPr="00DE4F22">
      <w:rPr>
        <w:rFonts w:eastAsia="Lato"/>
        <w:b/>
        <w:color w:val="153056"/>
        <w:sz w:val="20"/>
        <w:szCs w:val="20"/>
      </w:rPr>
      <w:t>, 202</w:t>
    </w:r>
    <w:r w:rsidR="00E04940">
      <w:rPr>
        <w:rFonts w:eastAsia="Lato"/>
        <w:b/>
        <w:color w:val="153056"/>
        <w:sz w:val="20"/>
        <w:szCs w:val="20"/>
      </w:rPr>
      <w:t>5</w:t>
    </w:r>
    <w:r w:rsidR="00BA63C3" w:rsidRPr="00DE4F22">
      <w:rPr>
        <w:rFonts w:eastAsia="Lato"/>
        <w:b/>
        <w:color w:val="153056"/>
        <w:sz w:val="20"/>
        <w:szCs w:val="20"/>
      </w:rPr>
      <w:t>. godine</w:t>
    </w:r>
  </w:p>
  <w:p w14:paraId="54548557" w14:textId="77777777" w:rsidR="00BA63C3" w:rsidRPr="00DE4F22" w:rsidRDefault="00BA63C3">
    <w:pPr>
      <w:pBdr>
        <w:top w:val="nil"/>
        <w:left w:val="nil"/>
        <w:bottom w:val="nil"/>
        <w:right w:val="nil"/>
        <w:between w:val="nil"/>
      </w:pBdr>
      <w:tabs>
        <w:tab w:val="center" w:pos="4513"/>
        <w:tab w:val="right" w:pos="9026"/>
      </w:tabs>
      <w:ind w:left="-567"/>
      <w:rPr>
        <w:rFonts w:ascii="Lato" w:eastAsia="Lato" w:hAnsi="Lato" w:cs="Lato"/>
        <w:color w:val="15305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86077"/>
      <w:docPartObj>
        <w:docPartGallery w:val="Page Numbers (Bottom of Page)"/>
        <w:docPartUnique/>
      </w:docPartObj>
    </w:sdtPr>
    <w:sdtEndPr/>
    <w:sdtContent>
      <w:p w14:paraId="224C1085" w14:textId="77777777" w:rsidR="00BA63C3" w:rsidRPr="00DE4F22" w:rsidRDefault="00BA63C3">
        <w:pPr>
          <w:pStyle w:val="Footer"/>
          <w:jc w:val="right"/>
        </w:pPr>
        <w:r w:rsidRPr="00DE4F22">
          <w:fldChar w:fldCharType="begin"/>
        </w:r>
        <w:r w:rsidRPr="00DE4F22">
          <w:instrText xml:space="preserve"> PAGE   \* MERGEFORMAT </w:instrText>
        </w:r>
        <w:r w:rsidRPr="00DE4F22">
          <w:fldChar w:fldCharType="separate"/>
        </w:r>
        <w:r w:rsidR="00B75F0F" w:rsidRPr="00DE4F22">
          <w:t>5</w:t>
        </w:r>
        <w:r w:rsidRPr="00DE4F22">
          <w:fldChar w:fldCharType="end"/>
        </w:r>
      </w:p>
    </w:sdtContent>
  </w:sdt>
  <w:p w14:paraId="5B2284F9" w14:textId="77777777" w:rsidR="00BA63C3" w:rsidRPr="00DE4F22" w:rsidRDefault="00BA63C3">
    <w:pPr>
      <w:pBdr>
        <w:top w:val="nil"/>
        <w:left w:val="nil"/>
        <w:bottom w:val="nil"/>
        <w:right w:val="nil"/>
        <w:between w:val="nil"/>
      </w:pBdr>
      <w:tabs>
        <w:tab w:val="center" w:pos="4513"/>
        <w:tab w:val="right" w:pos="9026"/>
      </w:tabs>
      <w:jc w:val="center"/>
      <w:rPr>
        <w:rFonts w:ascii="Lato" w:eastAsia="Lato" w:hAnsi="Lato" w:cs="Lato"/>
        <w:b/>
        <w:color w:val="15305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62C3E" w14:textId="77777777" w:rsidR="006B6E4F" w:rsidRPr="00DE4F22" w:rsidRDefault="006B6E4F">
      <w:r w:rsidRPr="00DE4F22">
        <w:separator/>
      </w:r>
    </w:p>
  </w:footnote>
  <w:footnote w:type="continuationSeparator" w:id="0">
    <w:p w14:paraId="07CD4FC2" w14:textId="77777777" w:rsidR="006B6E4F" w:rsidRPr="00DE4F22" w:rsidRDefault="006B6E4F">
      <w:r w:rsidRPr="00DE4F22">
        <w:continuationSeparator/>
      </w:r>
    </w:p>
  </w:footnote>
  <w:footnote w:id="1">
    <w:p w14:paraId="69B64C1F" w14:textId="1208BBB1" w:rsidR="001C60EB" w:rsidRPr="001C60EB" w:rsidRDefault="001C60EB">
      <w:pPr>
        <w:pStyle w:val="FootnoteText"/>
        <w:rPr>
          <w:sz w:val="16"/>
          <w:szCs w:val="16"/>
        </w:rPr>
      </w:pPr>
      <w:r w:rsidRPr="001C60EB">
        <w:rPr>
          <w:rStyle w:val="FootnoteReference"/>
          <w:sz w:val="16"/>
          <w:szCs w:val="16"/>
        </w:rPr>
        <w:footnoteRef/>
      </w:r>
      <w:r w:rsidRPr="001C60EB">
        <w:rPr>
          <w:sz w:val="16"/>
          <w:szCs w:val="16"/>
        </w:rPr>
        <w:t xml:space="preserve"> Planirani prilivi u 2025-toj godini</w:t>
      </w:r>
    </w:p>
  </w:footnote>
  <w:footnote w:id="2">
    <w:p w14:paraId="615BB6F5" w14:textId="6AA6B535" w:rsidR="00063163" w:rsidRPr="00063163" w:rsidRDefault="00063163">
      <w:pPr>
        <w:pStyle w:val="FootnoteText"/>
        <w:rPr>
          <w:sz w:val="16"/>
          <w:szCs w:val="16"/>
        </w:rPr>
      </w:pPr>
      <w:r w:rsidRPr="00063163">
        <w:rPr>
          <w:rStyle w:val="FootnoteReference"/>
          <w:sz w:val="16"/>
          <w:szCs w:val="16"/>
        </w:rPr>
        <w:footnoteRef/>
      </w:r>
      <w:r w:rsidRPr="00063163">
        <w:rPr>
          <w:sz w:val="16"/>
          <w:szCs w:val="16"/>
        </w:rPr>
        <w:t xml:space="preserve"> </w:t>
      </w:r>
      <w:r w:rsidRPr="00063163">
        <w:rPr>
          <w:sz w:val="16"/>
          <w:szCs w:val="16"/>
        </w:rPr>
        <w:t>Planirani odlivi u 2025-toj godini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27D52" w14:textId="77777777" w:rsidR="00BA63C3" w:rsidRPr="00DE4F22" w:rsidRDefault="00BA63C3">
    <w:pPr>
      <w:pBdr>
        <w:top w:val="nil"/>
        <w:left w:val="nil"/>
        <w:bottom w:val="nil"/>
        <w:right w:val="nil"/>
        <w:between w:val="nil"/>
      </w:pBdr>
      <w:tabs>
        <w:tab w:val="center" w:pos="4513"/>
        <w:tab w:val="right" w:pos="9026"/>
        <w:tab w:val="left" w:pos="8505"/>
      </w:tabs>
      <w:ind w:right="-613"/>
      <w:jc w:val="right"/>
      <w:rPr>
        <w:color w:val="153056"/>
        <w:sz w:val="20"/>
        <w:szCs w:val="20"/>
      </w:rPr>
    </w:pPr>
  </w:p>
  <w:p w14:paraId="7DCE9817" w14:textId="77777777" w:rsidR="00BA63C3" w:rsidRPr="00DE4F22" w:rsidRDefault="00BA63C3">
    <w:pPr>
      <w:ind w:left="-567" w:right="-472"/>
      <w:jc w:val="center"/>
      <w:rPr>
        <w:rFonts w:eastAsia="Lato"/>
        <w:b/>
        <w:color w:val="153056"/>
        <w:sz w:val="20"/>
        <w:szCs w:val="20"/>
      </w:rPr>
    </w:pPr>
    <w:r w:rsidRPr="00DE4F22">
      <w:rPr>
        <w:rFonts w:eastAsia="Lato"/>
        <w:b/>
        <w:color w:val="153056"/>
        <w:sz w:val="20"/>
        <w:szCs w:val="20"/>
      </w:rPr>
      <w:t>DOO FOND ZA ZAŠTITU ŽIVOTNE SREDINE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918D6" w14:textId="6636D129" w:rsidR="00BA63C3" w:rsidRPr="00DE4F22" w:rsidRDefault="00BA63C3">
    <w:pPr>
      <w:pBdr>
        <w:top w:val="nil"/>
        <w:left w:val="nil"/>
        <w:bottom w:val="nil"/>
        <w:right w:val="nil"/>
        <w:between w:val="nil"/>
      </w:pBdr>
      <w:tabs>
        <w:tab w:val="center" w:pos="4513"/>
        <w:tab w:val="right" w:pos="9026"/>
        <w:tab w:val="left" w:pos="8505"/>
      </w:tabs>
      <w:ind w:right="-613"/>
      <w:jc w:val="right"/>
      <w:rPr>
        <w:color w:val="153056"/>
        <w:sz w:val="20"/>
        <w:szCs w:val="20"/>
      </w:rPr>
    </w:pPr>
    <w:r w:rsidRPr="00DE4F22">
      <w:rPr>
        <w:color w:val="000000"/>
      </w:rPr>
      <w:tab/>
    </w:r>
  </w:p>
  <w:p w14:paraId="3C3A932C" w14:textId="77777777" w:rsidR="00BA63C3" w:rsidRPr="00DE4F22" w:rsidRDefault="00BA63C3">
    <w:pPr>
      <w:pBdr>
        <w:top w:val="nil"/>
        <w:left w:val="nil"/>
        <w:bottom w:val="nil"/>
        <w:right w:val="nil"/>
        <w:between w:val="nil"/>
      </w:pBdr>
      <w:tabs>
        <w:tab w:val="center" w:pos="4513"/>
        <w:tab w:val="right" w:pos="9026"/>
        <w:tab w:val="left" w:pos="8505"/>
      </w:tabs>
      <w:ind w:right="-613"/>
      <w:jc w:val="right"/>
      <w:rPr>
        <w:color w:val="153056"/>
        <w:sz w:val="20"/>
        <w:szCs w:val="20"/>
      </w:rPr>
    </w:pPr>
  </w:p>
  <w:p w14:paraId="2E2CD920" w14:textId="77777777" w:rsidR="00BA63C3" w:rsidRPr="00DE4F22" w:rsidRDefault="00BA63C3">
    <w:pPr>
      <w:pBdr>
        <w:top w:val="nil"/>
        <w:left w:val="nil"/>
        <w:bottom w:val="nil"/>
        <w:right w:val="nil"/>
        <w:between w:val="nil"/>
      </w:pBdr>
      <w:tabs>
        <w:tab w:val="center" w:pos="4513"/>
        <w:tab w:val="right" w:pos="9026"/>
        <w:tab w:val="left" w:pos="8505"/>
      </w:tabs>
      <w:ind w:right="-613"/>
      <w:jc w:val="right"/>
      <w:rPr>
        <w:color w:val="153056"/>
        <w:sz w:val="20"/>
        <w:szCs w:val="20"/>
      </w:rPr>
    </w:pPr>
  </w:p>
  <w:p w14:paraId="099267CF" w14:textId="77777777" w:rsidR="00BA63C3" w:rsidRPr="00DE4F22" w:rsidRDefault="00BA63C3">
    <w:pPr>
      <w:pBdr>
        <w:top w:val="nil"/>
        <w:left w:val="nil"/>
        <w:bottom w:val="nil"/>
        <w:right w:val="nil"/>
        <w:between w:val="nil"/>
      </w:pBdr>
      <w:tabs>
        <w:tab w:val="center" w:pos="4513"/>
        <w:tab w:val="right" w:pos="9026"/>
        <w:tab w:val="left" w:pos="8505"/>
      </w:tabs>
      <w:ind w:right="-613"/>
      <w:rPr>
        <w:color w:val="153056"/>
        <w:sz w:val="20"/>
        <w:szCs w:val="20"/>
      </w:rPr>
    </w:pPr>
  </w:p>
  <w:p w14:paraId="50A5391B" w14:textId="77777777" w:rsidR="00BA63C3" w:rsidRPr="00DE4F22" w:rsidRDefault="00BA63C3">
    <w:pPr>
      <w:pBdr>
        <w:top w:val="nil"/>
        <w:left w:val="nil"/>
        <w:bottom w:val="nil"/>
        <w:right w:val="nil"/>
        <w:between w:val="nil"/>
      </w:pBdr>
      <w:tabs>
        <w:tab w:val="center" w:pos="4513"/>
        <w:tab w:val="right" w:pos="9026"/>
        <w:tab w:val="left" w:pos="8505"/>
      </w:tabs>
      <w:ind w:right="-613"/>
      <w:rPr>
        <w:color w:val="153056"/>
        <w:sz w:val="20"/>
        <w:szCs w:val="20"/>
      </w:rPr>
    </w:pPr>
  </w:p>
  <w:p w14:paraId="6D8C9088" w14:textId="77777777" w:rsidR="00BA63C3" w:rsidRPr="00DE4F22" w:rsidRDefault="00BA63C3">
    <w:pPr>
      <w:ind w:right="-613"/>
      <w:jc w:val="right"/>
      <w:rPr>
        <w:color w:val="15305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482"/>
    <w:multiLevelType w:val="multilevel"/>
    <w:tmpl w:val="5D58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775A1"/>
    <w:multiLevelType w:val="multilevel"/>
    <w:tmpl w:val="CF50B216"/>
    <w:lvl w:ilvl="0">
      <w:start w:val="2"/>
      <w:numFmt w:val="decimal"/>
      <w:lvlText w:val="%1."/>
      <w:lvlJc w:val="left"/>
      <w:pPr>
        <w:ind w:left="570" w:hanging="57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C56B8C"/>
    <w:multiLevelType w:val="multilevel"/>
    <w:tmpl w:val="3EFA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11DC6"/>
    <w:multiLevelType w:val="hybridMultilevel"/>
    <w:tmpl w:val="C854B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4C737A"/>
    <w:multiLevelType w:val="multilevel"/>
    <w:tmpl w:val="E59ADB04"/>
    <w:lvl w:ilvl="0">
      <w:start w:val="2"/>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BF6BF6"/>
    <w:multiLevelType w:val="multilevel"/>
    <w:tmpl w:val="2E6C4D3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35034F"/>
    <w:multiLevelType w:val="multilevel"/>
    <w:tmpl w:val="4D7268AC"/>
    <w:lvl w:ilvl="0">
      <w:start w:val="1"/>
      <w:numFmt w:val="decimal"/>
      <w:lvlText w:val="%1."/>
      <w:lvlJc w:val="left"/>
      <w:pPr>
        <w:ind w:left="-4500" w:hanging="360"/>
      </w:pPr>
    </w:lvl>
    <w:lvl w:ilvl="1">
      <w:start w:val="1"/>
      <w:numFmt w:val="lowerLetter"/>
      <w:lvlText w:val="%2."/>
      <w:lvlJc w:val="left"/>
      <w:pPr>
        <w:ind w:left="-3780" w:hanging="360"/>
      </w:pPr>
    </w:lvl>
    <w:lvl w:ilvl="2">
      <w:start w:val="1"/>
      <w:numFmt w:val="lowerRoman"/>
      <w:lvlText w:val="%3."/>
      <w:lvlJc w:val="right"/>
      <w:pPr>
        <w:ind w:left="-3060" w:hanging="180"/>
      </w:pPr>
    </w:lvl>
    <w:lvl w:ilvl="3">
      <w:start w:val="1"/>
      <w:numFmt w:val="decimal"/>
      <w:lvlText w:val="%4."/>
      <w:lvlJc w:val="left"/>
      <w:pPr>
        <w:ind w:left="-2340" w:hanging="360"/>
      </w:pPr>
    </w:lvl>
    <w:lvl w:ilvl="4">
      <w:start w:val="1"/>
      <w:numFmt w:val="lowerLetter"/>
      <w:lvlText w:val="%5."/>
      <w:lvlJc w:val="left"/>
      <w:pPr>
        <w:ind w:left="-1620" w:hanging="360"/>
      </w:pPr>
    </w:lvl>
    <w:lvl w:ilvl="5">
      <w:start w:val="1"/>
      <w:numFmt w:val="lowerRoman"/>
      <w:lvlText w:val="%6."/>
      <w:lvlJc w:val="right"/>
      <w:pPr>
        <w:ind w:left="-900" w:hanging="180"/>
      </w:pPr>
    </w:lvl>
    <w:lvl w:ilvl="6">
      <w:start w:val="1"/>
      <w:numFmt w:val="decimal"/>
      <w:lvlText w:val="%7."/>
      <w:lvlJc w:val="left"/>
      <w:pPr>
        <w:ind w:left="-180" w:hanging="360"/>
      </w:pPr>
    </w:lvl>
    <w:lvl w:ilvl="7">
      <w:start w:val="1"/>
      <w:numFmt w:val="lowerLetter"/>
      <w:lvlText w:val="%8."/>
      <w:lvlJc w:val="left"/>
      <w:pPr>
        <w:ind w:left="540" w:hanging="360"/>
      </w:pPr>
    </w:lvl>
    <w:lvl w:ilvl="8">
      <w:start w:val="1"/>
      <w:numFmt w:val="lowerRoman"/>
      <w:lvlText w:val="%9."/>
      <w:lvlJc w:val="right"/>
      <w:pPr>
        <w:ind w:left="1260" w:hanging="180"/>
      </w:pPr>
    </w:lvl>
  </w:abstractNum>
  <w:abstractNum w:abstractNumId="7" w15:restartNumberingAfterBreak="0">
    <w:nsid w:val="1CF50834"/>
    <w:multiLevelType w:val="multilevel"/>
    <w:tmpl w:val="D65AC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452927"/>
    <w:multiLevelType w:val="hybridMultilevel"/>
    <w:tmpl w:val="D2E2A22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C137D5"/>
    <w:multiLevelType w:val="multilevel"/>
    <w:tmpl w:val="4450FF00"/>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7F4D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D24AB0"/>
    <w:multiLevelType w:val="multilevel"/>
    <w:tmpl w:val="FAE247E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FD1205"/>
    <w:multiLevelType w:val="multilevel"/>
    <w:tmpl w:val="F148207A"/>
    <w:lvl w:ilvl="0">
      <w:start w:val="1"/>
      <w:numFmt w:val="upperRoman"/>
      <w:lvlText w:val="%1."/>
      <w:lvlJc w:val="left"/>
      <w:pPr>
        <w:ind w:left="1116" w:hanging="720"/>
      </w:pPr>
      <w:rPr>
        <w:sz w:val="22"/>
        <w:szCs w:val="22"/>
      </w:r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3" w15:restartNumberingAfterBreak="0">
    <w:nsid w:val="32540592"/>
    <w:multiLevelType w:val="hybridMultilevel"/>
    <w:tmpl w:val="0660D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7D7080"/>
    <w:multiLevelType w:val="multilevel"/>
    <w:tmpl w:val="744033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sz w:val="24"/>
        <w:szCs w:val="32"/>
      </w:rPr>
    </w:lvl>
    <w:lvl w:ilvl="2">
      <w:start w:val="1"/>
      <w:numFmt w:val="decimal"/>
      <w:lvlText w:val="%1.%2.%3."/>
      <w:lvlJc w:val="left"/>
      <w:pPr>
        <w:ind w:left="720" w:hanging="720"/>
      </w:pPr>
      <w:rPr>
        <w:rFonts w:hint="default"/>
        <w:b w:val="0"/>
        <w:bCs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AB20E26"/>
    <w:multiLevelType w:val="multilevel"/>
    <w:tmpl w:val="18721420"/>
    <w:lvl w:ilvl="0">
      <w:start w:val="2"/>
      <w:numFmt w:val="decimal"/>
      <w:lvlText w:val="%1."/>
      <w:lvlJc w:val="left"/>
      <w:pPr>
        <w:ind w:left="580" w:hanging="5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C327B44"/>
    <w:multiLevelType w:val="multilevel"/>
    <w:tmpl w:val="7C7054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DAF2F91"/>
    <w:multiLevelType w:val="multilevel"/>
    <w:tmpl w:val="FF0E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E60B4E"/>
    <w:multiLevelType w:val="multilevel"/>
    <w:tmpl w:val="A6848932"/>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1080" w:hanging="720"/>
      </w:pPr>
      <w:rPr>
        <w:rFonts w:cs="Times New Roman" w:hint="default"/>
        <w:b w:val="0"/>
        <w:bCs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800" w:hanging="144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520" w:hanging="216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19" w15:restartNumberingAfterBreak="0">
    <w:nsid w:val="43345777"/>
    <w:multiLevelType w:val="hybridMultilevel"/>
    <w:tmpl w:val="C69CD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B40894"/>
    <w:multiLevelType w:val="multilevel"/>
    <w:tmpl w:val="3D6009EC"/>
    <w:lvl w:ilvl="0">
      <w:start w:val="1"/>
      <w:numFmt w:val="decimal"/>
      <w:lvlText w:val="%1."/>
      <w:lvlJc w:val="left"/>
      <w:pPr>
        <w:ind w:left="720" w:hanging="360"/>
      </w:pPr>
      <w:rPr>
        <w:rFonts w:ascii="Times New Roman" w:eastAsia="Georgia"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8C4A2F"/>
    <w:multiLevelType w:val="multilevel"/>
    <w:tmpl w:val="5424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462DA5"/>
    <w:multiLevelType w:val="hybridMultilevel"/>
    <w:tmpl w:val="AC6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8851F8B"/>
    <w:multiLevelType w:val="multilevel"/>
    <w:tmpl w:val="BE7657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FA5814"/>
    <w:multiLevelType w:val="multilevel"/>
    <w:tmpl w:val="884EB4C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0DF1500"/>
    <w:multiLevelType w:val="hybridMultilevel"/>
    <w:tmpl w:val="A97EF51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6" w15:restartNumberingAfterBreak="0">
    <w:nsid w:val="61497F4A"/>
    <w:multiLevelType w:val="multilevel"/>
    <w:tmpl w:val="FFB09D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A7436AF"/>
    <w:multiLevelType w:val="multilevel"/>
    <w:tmpl w:val="DAC68C7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b w:val="0"/>
        <w:bCs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C2F1883"/>
    <w:multiLevelType w:val="multilevel"/>
    <w:tmpl w:val="2E6C4D3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CF4244E"/>
    <w:multiLevelType w:val="multilevel"/>
    <w:tmpl w:val="0080A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F23BE0"/>
    <w:multiLevelType w:val="multilevel"/>
    <w:tmpl w:val="831AE9B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0024F53"/>
    <w:multiLevelType w:val="multilevel"/>
    <w:tmpl w:val="BA0E5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1690683"/>
    <w:multiLevelType w:val="multilevel"/>
    <w:tmpl w:val="039E39F6"/>
    <w:lvl w:ilvl="0">
      <w:start w:val="1"/>
      <w:numFmt w:val="bullet"/>
      <w:lvlText w:val="•"/>
      <w:lvlJc w:val="left"/>
      <w:pPr>
        <w:ind w:left="5790" w:hanging="570"/>
      </w:pPr>
      <w:rPr>
        <w:rFonts w:ascii="Tahoma" w:eastAsia="Tahoma" w:hAnsi="Tahoma" w:cs="Tahom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4FC48CE"/>
    <w:multiLevelType w:val="multilevel"/>
    <w:tmpl w:val="9F2E29FE"/>
    <w:lvl w:ilvl="0">
      <w:start w:val="1"/>
      <w:numFmt w:val="bullet"/>
      <w:lvlText w:val="●"/>
      <w:lvlJc w:val="left"/>
      <w:pPr>
        <w:ind w:left="502"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4" w15:restartNumberingAfterBreak="0">
    <w:nsid w:val="77107A67"/>
    <w:multiLevelType w:val="multilevel"/>
    <w:tmpl w:val="0CE27CDC"/>
    <w:lvl w:ilvl="0">
      <w:start w:val="1"/>
      <w:numFmt w:val="bullet"/>
      <w:lvlText w:val="-"/>
      <w:lvlJc w:val="left"/>
      <w:pPr>
        <w:ind w:left="107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85406EC"/>
    <w:multiLevelType w:val="hybridMultilevel"/>
    <w:tmpl w:val="62ACF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B02663"/>
    <w:multiLevelType w:val="multilevel"/>
    <w:tmpl w:val="C9B0DA60"/>
    <w:lvl w:ilvl="0">
      <w:start w:val="1"/>
      <w:numFmt w:val="upperLetter"/>
      <w:pStyle w:val="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9"/>
  </w:num>
  <w:num w:numId="3">
    <w:abstractNumId w:val="10"/>
  </w:num>
  <w:num w:numId="4">
    <w:abstractNumId w:val="30"/>
  </w:num>
  <w:num w:numId="5">
    <w:abstractNumId w:val="29"/>
  </w:num>
  <w:num w:numId="6">
    <w:abstractNumId w:val="7"/>
  </w:num>
  <w:num w:numId="7">
    <w:abstractNumId w:val="23"/>
  </w:num>
  <w:num w:numId="8">
    <w:abstractNumId w:val="34"/>
  </w:num>
  <w:num w:numId="9">
    <w:abstractNumId w:val="20"/>
  </w:num>
  <w:num w:numId="10">
    <w:abstractNumId w:val="11"/>
  </w:num>
  <w:num w:numId="11">
    <w:abstractNumId w:val="32"/>
  </w:num>
  <w:num w:numId="12">
    <w:abstractNumId w:val="31"/>
  </w:num>
  <w:num w:numId="13">
    <w:abstractNumId w:val="12"/>
  </w:num>
  <w:num w:numId="14">
    <w:abstractNumId w:val="6"/>
  </w:num>
  <w:num w:numId="15">
    <w:abstractNumId w:val="33"/>
  </w:num>
  <w:num w:numId="16">
    <w:abstractNumId w:val="16"/>
  </w:num>
  <w:num w:numId="17">
    <w:abstractNumId w:val="13"/>
  </w:num>
  <w:num w:numId="18">
    <w:abstractNumId w:val="3"/>
  </w:num>
  <w:num w:numId="19">
    <w:abstractNumId w:val="17"/>
  </w:num>
  <w:num w:numId="20">
    <w:abstractNumId w:val="2"/>
  </w:num>
  <w:num w:numId="21">
    <w:abstractNumId w:val="21"/>
  </w:num>
  <w:num w:numId="22">
    <w:abstractNumId w:val="0"/>
  </w:num>
  <w:num w:numId="23">
    <w:abstractNumId w:val="28"/>
  </w:num>
  <w:num w:numId="24">
    <w:abstractNumId w:val="8"/>
  </w:num>
  <w:num w:numId="25">
    <w:abstractNumId w:val="14"/>
  </w:num>
  <w:num w:numId="26">
    <w:abstractNumId w:val="26"/>
  </w:num>
  <w:num w:numId="27">
    <w:abstractNumId w:val="35"/>
  </w:num>
  <w:num w:numId="28">
    <w:abstractNumId w:val="24"/>
  </w:num>
  <w:num w:numId="29">
    <w:abstractNumId w:val="25"/>
  </w:num>
  <w:num w:numId="30">
    <w:abstractNumId w:val="27"/>
  </w:num>
  <w:num w:numId="31">
    <w:abstractNumId w:val="5"/>
  </w:num>
  <w:num w:numId="32">
    <w:abstractNumId w:val="4"/>
  </w:num>
  <w:num w:numId="33">
    <w:abstractNumId w:val="15"/>
  </w:num>
  <w:num w:numId="34">
    <w:abstractNumId w:val="1"/>
  </w:num>
  <w:num w:numId="35">
    <w:abstractNumId w:val="18"/>
  </w:num>
  <w:num w:numId="36">
    <w:abstractNumId w:val="2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808"/>
    <w:rsid w:val="00000A8B"/>
    <w:rsid w:val="000016DF"/>
    <w:rsid w:val="000018C3"/>
    <w:rsid w:val="00005750"/>
    <w:rsid w:val="000074D9"/>
    <w:rsid w:val="000102FE"/>
    <w:rsid w:val="000117BC"/>
    <w:rsid w:val="00015D2B"/>
    <w:rsid w:val="00020341"/>
    <w:rsid w:val="00021A83"/>
    <w:rsid w:val="00023322"/>
    <w:rsid w:val="0002388F"/>
    <w:rsid w:val="000238E0"/>
    <w:rsid w:val="00023EDD"/>
    <w:rsid w:val="00023FBB"/>
    <w:rsid w:val="000269B2"/>
    <w:rsid w:val="00026DAB"/>
    <w:rsid w:val="00027C77"/>
    <w:rsid w:val="0003208B"/>
    <w:rsid w:val="00034D07"/>
    <w:rsid w:val="00036C62"/>
    <w:rsid w:val="00042C20"/>
    <w:rsid w:val="000469A7"/>
    <w:rsid w:val="00052417"/>
    <w:rsid w:val="00053194"/>
    <w:rsid w:val="000538FA"/>
    <w:rsid w:val="0005399C"/>
    <w:rsid w:val="0005508F"/>
    <w:rsid w:val="000567A3"/>
    <w:rsid w:val="000602F0"/>
    <w:rsid w:val="00060E1A"/>
    <w:rsid w:val="0006242A"/>
    <w:rsid w:val="00062DA4"/>
    <w:rsid w:val="00063163"/>
    <w:rsid w:val="000631A0"/>
    <w:rsid w:val="00073583"/>
    <w:rsid w:val="00076328"/>
    <w:rsid w:val="000862F3"/>
    <w:rsid w:val="0009689C"/>
    <w:rsid w:val="00097445"/>
    <w:rsid w:val="000A4876"/>
    <w:rsid w:val="000B0B09"/>
    <w:rsid w:val="000B3508"/>
    <w:rsid w:val="000B5CE0"/>
    <w:rsid w:val="000B6B72"/>
    <w:rsid w:val="000B77DB"/>
    <w:rsid w:val="000C2F55"/>
    <w:rsid w:val="000C32CE"/>
    <w:rsid w:val="000C36DC"/>
    <w:rsid w:val="000C3B6A"/>
    <w:rsid w:val="000D415D"/>
    <w:rsid w:val="000D48A5"/>
    <w:rsid w:val="000D6B7C"/>
    <w:rsid w:val="000D7615"/>
    <w:rsid w:val="000E2C24"/>
    <w:rsid w:val="000E4C60"/>
    <w:rsid w:val="000F0AC2"/>
    <w:rsid w:val="000F2C11"/>
    <w:rsid w:val="000F70EC"/>
    <w:rsid w:val="00121F85"/>
    <w:rsid w:val="00122B88"/>
    <w:rsid w:val="00124DCC"/>
    <w:rsid w:val="001279F9"/>
    <w:rsid w:val="001327BF"/>
    <w:rsid w:val="00135EC1"/>
    <w:rsid w:val="00141F01"/>
    <w:rsid w:val="00142AFD"/>
    <w:rsid w:val="00143D0A"/>
    <w:rsid w:val="0015263B"/>
    <w:rsid w:val="00154326"/>
    <w:rsid w:val="0015441C"/>
    <w:rsid w:val="00155AC0"/>
    <w:rsid w:val="00161F7C"/>
    <w:rsid w:val="001639B5"/>
    <w:rsid w:val="00163E31"/>
    <w:rsid w:val="00164CC4"/>
    <w:rsid w:val="00164F6B"/>
    <w:rsid w:val="00166FEA"/>
    <w:rsid w:val="00167BA2"/>
    <w:rsid w:val="00171368"/>
    <w:rsid w:val="00177633"/>
    <w:rsid w:val="00181D65"/>
    <w:rsid w:val="001858AA"/>
    <w:rsid w:val="00185E4B"/>
    <w:rsid w:val="00185F2E"/>
    <w:rsid w:val="00193886"/>
    <w:rsid w:val="00195BD1"/>
    <w:rsid w:val="00196263"/>
    <w:rsid w:val="001A1D3F"/>
    <w:rsid w:val="001A2419"/>
    <w:rsid w:val="001A440C"/>
    <w:rsid w:val="001B2517"/>
    <w:rsid w:val="001B4E20"/>
    <w:rsid w:val="001B541A"/>
    <w:rsid w:val="001C0261"/>
    <w:rsid w:val="001C60EB"/>
    <w:rsid w:val="001D0461"/>
    <w:rsid w:val="001D04F4"/>
    <w:rsid w:val="001D09A4"/>
    <w:rsid w:val="001D4242"/>
    <w:rsid w:val="001D6789"/>
    <w:rsid w:val="001E077C"/>
    <w:rsid w:val="001E1025"/>
    <w:rsid w:val="001E228B"/>
    <w:rsid w:val="001E22C3"/>
    <w:rsid w:val="001F05D4"/>
    <w:rsid w:val="001F567E"/>
    <w:rsid w:val="00202012"/>
    <w:rsid w:val="002066F6"/>
    <w:rsid w:val="00206B1D"/>
    <w:rsid w:val="0021000C"/>
    <w:rsid w:val="00217071"/>
    <w:rsid w:val="0022020C"/>
    <w:rsid w:val="00230082"/>
    <w:rsid w:val="002333DD"/>
    <w:rsid w:val="00234C28"/>
    <w:rsid w:val="0023610D"/>
    <w:rsid w:val="00242C33"/>
    <w:rsid w:val="002456F3"/>
    <w:rsid w:val="00252C1A"/>
    <w:rsid w:val="00253DD9"/>
    <w:rsid w:val="002566A4"/>
    <w:rsid w:val="0026217D"/>
    <w:rsid w:val="00262DE0"/>
    <w:rsid w:val="00272344"/>
    <w:rsid w:val="002731ED"/>
    <w:rsid w:val="00273699"/>
    <w:rsid w:val="002775BE"/>
    <w:rsid w:val="00281842"/>
    <w:rsid w:val="0028219D"/>
    <w:rsid w:val="002847DB"/>
    <w:rsid w:val="0028564D"/>
    <w:rsid w:val="00285A68"/>
    <w:rsid w:val="0028613C"/>
    <w:rsid w:val="00293136"/>
    <w:rsid w:val="002934C3"/>
    <w:rsid w:val="00293D0A"/>
    <w:rsid w:val="002A0F7E"/>
    <w:rsid w:val="002A1368"/>
    <w:rsid w:val="002A2A14"/>
    <w:rsid w:val="002B1BDD"/>
    <w:rsid w:val="002B205B"/>
    <w:rsid w:val="002B5A58"/>
    <w:rsid w:val="002B5DEC"/>
    <w:rsid w:val="002B6897"/>
    <w:rsid w:val="002B75BB"/>
    <w:rsid w:val="002C134F"/>
    <w:rsid w:val="002C381D"/>
    <w:rsid w:val="002C44E1"/>
    <w:rsid w:val="002C696E"/>
    <w:rsid w:val="002D40B6"/>
    <w:rsid w:val="002E47C4"/>
    <w:rsid w:val="002E4AFF"/>
    <w:rsid w:val="002E5325"/>
    <w:rsid w:val="002E5AB1"/>
    <w:rsid w:val="002E5AC9"/>
    <w:rsid w:val="003076E5"/>
    <w:rsid w:val="00315CC8"/>
    <w:rsid w:val="00323651"/>
    <w:rsid w:val="00323992"/>
    <w:rsid w:val="00324409"/>
    <w:rsid w:val="0032450C"/>
    <w:rsid w:val="00325589"/>
    <w:rsid w:val="00326E25"/>
    <w:rsid w:val="00327C44"/>
    <w:rsid w:val="00330D30"/>
    <w:rsid w:val="00331A32"/>
    <w:rsid w:val="00331C34"/>
    <w:rsid w:val="00335495"/>
    <w:rsid w:val="003408DE"/>
    <w:rsid w:val="00342647"/>
    <w:rsid w:val="00344BCF"/>
    <w:rsid w:val="00344D95"/>
    <w:rsid w:val="003452D2"/>
    <w:rsid w:val="00345B26"/>
    <w:rsid w:val="003636C0"/>
    <w:rsid w:val="00364321"/>
    <w:rsid w:val="00373A2A"/>
    <w:rsid w:val="003823AB"/>
    <w:rsid w:val="003827C4"/>
    <w:rsid w:val="00384261"/>
    <w:rsid w:val="003855A7"/>
    <w:rsid w:val="00386DAF"/>
    <w:rsid w:val="00387B1B"/>
    <w:rsid w:val="00390A82"/>
    <w:rsid w:val="003B6079"/>
    <w:rsid w:val="003C14C7"/>
    <w:rsid w:val="003C6911"/>
    <w:rsid w:val="003C75DC"/>
    <w:rsid w:val="003D21EB"/>
    <w:rsid w:val="003D5161"/>
    <w:rsid w:val="003D5392"/>
    <w:rsid w:val="003F4B97"/>
    <w:rsid w:val="00400C0F"/>
    <w:rsid w:val="00404F06"/>
    <w:rsid w:val="00406A50"/>
    <w:rsid w:val="00407883"/>
    <w:rsid w:val="00412175"/>
    <w:rsid w:val="00414D0F"/>
    <w:rsid w:val="004151D3"/>
    <w:rsid w:val="00424E69"/>
    <w:rsid w:val="00425A75"/>
    <w:rsid w:val="00425F47"/>
    <w:rsid w:val="004303D3"/>
    <w:rsid w:val="004317E6"/>
    <w:rsid w:val="00433313"/>
    <w:rsid w:val="00434902"/>
    <w:rsid w:val="0043701D"/>
    <w:rsid w:val="0044196F"/>
    <w:rsid w:val="00443546"/>
    <w:rsid w:val="00444C0F"/>
    <w:rsid w:val="004510B0"/>
    <w:rsid w:val="00461E84"/>
    <w:rsid w:val="00480BF5"/>
    <w:rsid w:val="00485867"/>
    <w:rsid w:val="00491071"/>
    <w:rsid w:val="0049621D"/>
    <w:rsid w:val="00497452"/>
    <w:rsid w:val="00497647"/>
    <w:rsid w:val="004A06FA"/>
    <w:rsid w:val="004B0029"/>
    <w:rsid w:val="004B06FE"/>
    <w:rsid w:val="004B25CB"/>
    <w:rsid w:val="004B5664"/>
    <w:rsid w:val="004B63FA"/>
    <w:rsid w:val="004C0347"/>
    <w:rsid w:val="004C7CE5"/>
    <w:rsid w:val="004D4945"/>
    <w:rsid w:val="004E271A"/>
    <w:rsid w:val="004E2ED9"/>
    <w:rsid w:val="004E2FF3"/>
    <w:rsid w:val="004F08B6"/>
    <w:rsid w:val="004F0DD8"/>
    <w:rsid w:val="004F4032"/>
    <w:rsid w:val="00500241"/>
    <w:rsid w:val="00502FA2"/>
    <w:rsid w:val="00517B74"/>
    <w:rsid w:val="005206D1"/>
    <w:rsid w:val="00523B35"/>
    <w:rsid w:val="0052595C"/>
    <w:rsid w:val="00527132"/>
    <w:rsid w:val="00535802"/>
    <w:rsid w:val="00536E7A"/>
    <w:rsid w:val="00537800"/>
    <w:rsid w:val="00540CC1"/>
    <w:rsid w:val="00540FC1"/>
    <w:rsid w:val="00553728"/>
    <w:rsid w:val="00554BC9"/>
    <w:rsid w:val="005566E4"/>
    <w:rsid w:val="005606AF"/>
    <w:rsid w:val="0056413B"/>
    <w:rsid w:val="0056750E"/>
    <w:rsid w:val="00567ECD"/>
    <w:rsid w:val="0057092D"/>
    <w:rsid w:val="005747A2"/>
    <w:rsid w:val="005757F8"/>
    <w:rsid w:val="00580AE9"/>
    <w:rsid w:val="00580E43"/>
    <w:rsid w:val="0058771E"/>
    <w:rsid w:val="00590736"/>
    <w:rsid w:val="005971D8"/>
    <w:rsid w:val="005B17BE"/>
    <w:rsid w:val="005B2077"/>
    <w:rsid w:val="005B3156"/>
    <w:rsid w:val="005C2CE7"/>
    <w:rsid w:val="005C5CE6"/>
    <w:rsid w:val="005D20F7"/>
    <w:rsid w:val="005D4918"/>
    <w:rsid w:val="005D658F"/>
    <w:rsid w:val="005D7207"/>
    <w:rsid w:val="005E3E72"/>
    <w:rsid w:val="005E598A"/>
    <w:rsid w:val="005F0813"/>
    <w:rsid w:val="005F51A2"/>
    <w:rsid w:val="005F6F1F"/>
    <w:rsid w:val="005F7F09"/>
    <w:rsid w:val="00613204"/>
    <w:rsid w:val="00613A6A"/>
    <w:rsid w:val="00620111"/>
    <w:rsid w:val="00624192"/>
    <w:rsid w:val="00625D79"/>
    <w:rsid w:val="0062727A"/>
    <w:rsid w:val="00633411"/>
    <w:rsid w:val="0064176F"/>
    <w:rsid w:val="00651C95"/>
    <w:rsid w:val="00656EF2"/>
    <w:rsid w:val="0067166D"/>
    <w:rsid w:val="00674099"/>
    <w:rsid w:val="0067444E"/>
    <w:rsid w:val="0067788B"/>
    <w:rsid w:val="0068037A"/>
    <w:rsid w:val="0068083D"/>
    <w:rsid w:val="00680B8B"/>
    <w:rsid w:val="0068796E"/>
    <w:rsid w:val="006921F8"/>
    <w:rsid w:val="0069221F"/>
    <w:rsid w:val="006951C8"/>
    <w:rsid w:val="00695808"/>
    <w:rsid w:val="00697682"/>
    <w:rsid w:val="006A229A"/>
    <w:rsid w:val="006A2DB7"/>
    <w:rsid w:val="006A332E"/>
    <w:rsid w:val="006A3510"/>
    <w:rsid w:val="006A70F6"/>
    <w:rsid w:val="006B20BC"/>
    <w:rsid w:val="006B3DB2"/>
    <w:rsid w:val="006B6E4F"/>
    <w:rsid w:val="006B6EEE"/>
    <w:rsid w:val="006C3642"/>
    <w:rsid w:val="006C552C"/>
    <w:rsid w:val="006D016F"/>
    <w:rsid w:val="006D41F0"/>
    <w:rsid w:val="006D618C"/>
    <w:rsid w:val="006D7861"/>
    <w:rsid w:val="006E27DF"/>
    <w:rsid w:val="006F7279"/>
    <w:rsid w:val="007018F5"/>
    <w:rsid w:val="00701A97"/>
    <w:rsid w:val="00706D70"/>
    <w:rsid w:val="007077A7"/>
    <w:rsid w:val="00710762"/>
    <w:rsid w:val="0071657F"/>
    <w:rsid w:val="0072061C"/>
    <w:rsid w:val="00721062"/>
    <w:rsid w:val="00721B44"/>
    <w:rsid w:val="00721EE4"/>
    <w:rsid w:val="007227A2"/>
    <w:rsid w:val="00724D5A"/>
    <w:rsid w:val="007307BA"/>
    <w:rsid w:val="00734B39"/>
    <w:rsid w:val="00737527"/>
    <w:rsid w:val="007465FF"/>
    <w:rsid w:val="007476C6"/>
    <w:rsid w:val="007508DF"/>
    <w:rsid w:val="00751C8A"/>
    <w:rsid w:val="0076140A"/>
    <w:rsid w:val="00765E26"/>
    <w:rsid w:val="0077358E"/>
    <w:rsid w:val="00773AA9"/>
    <w:rsid w:val="0077448F"/>
    <w:rsid w:val="007777F9"/>
    <w:rsid w:val="00781F4F"/>
    <w:rsid w:val="007834FD"/>
    <w:rsid w:val="00784339"/>
    <w:rsid w:val="00790D9F"/>
    <w:rsid w:val="007950F9"/>
    <w:rsid w:val="00795D4B"/>
    <w:rsid w:val="007973A9"/>
    <w:rsid w:val="007A5391"/>
    <w:rsid w:val="007B047F"/>
    <w:rsid w:val="007B1B31"/>
    <w:rsid w:val="007B3417"/>
    <w:rsid w:val="007B661D"/>
    <w:rsid w:val="007C161C"/>
    <w:rsid w:val="007C6247"/>
    <w:rsid w:val="007C662A"/>
    <w:rsid w:val="007D1DCB"/>
    <w:rsid w:val="007D1F2E"/>
    <w:rsid w:val="007D2E6F"/>
    <w:rsid w:val="007D7778"/>
    <w:rsid w:val="007D78A0"/>
    <w:rsid w:val="007E2EE6"/>
    <w:rsid w:val="007E4D5B"/>
    <w:rsid w:val="007E5DA9"/>
    <w:rsid w:val="007F1ABA"/>
    <w:rsid w:val="007F2A70"/>
    <w:rsid w:val="007F2CB9"/>
    <w:rsid w:val="007F4C12"/>
    <w:rsid w:val="007F4C3C"/>
    <w:rsid w:val="007F68BC"/>
    <w:rsid w:val="007F73FE"/>
    <w:rsid w:val="00800D0E"/>
    <w:rsid w:val="008012C0"/>
    <w:rsid w:val="0080415E"/>
    <w:rsid w:val="00805487"/>
    <w:rsid w:val="0080654A"/>
    <w:rsid w:val="00811C67"/>
    <w:rsid w:val="00812198"/>
    <w:rsid w:val="00814863"/>
    <w:rsid w:val="00814C2B"/>
    <w:rsid w:val="00815203"/>
    <w:rsid w:val="008206EB"/>
    <w:rsid w:val="00822DBE"/>
    <w:rsid w:val="0082584F"/>
    <w:rsid w:val="008427B4"/>
    <w:rsid w:val="008454D9"/>
    <w:rsid w:val="0084692A"/>
    <w:rsid w:val="00850606"/>
    <w:rsid w:val="008527E2"/>
    <w:rsid w:val="00852AF4"/>
    <w:rsid w:val="0085401B"/>
    <w:rsid w:val="00854A5F"/>
    <w:rsid w:val="00855F07"/>
    <w:rsid w:val="008609DD"/>
    <w:rsid w:val="00861003"/>
    <w:rsid w:val="00871F6E"/>
    <w:rsid w:val="00873789"/>
    <w:rsid w:val="00873D56"/>
    <w:rsid w:val="008758E2"/>
    <w:rsid w:val="00875FB4"/>
    <w:rsid w:val="00876709"/>
    <w:rsid w:val="00876A1D"/>
    <w:rsid w:val="008851F6"/>
    <w:rsid w:val="008863F1"/>
    <w:rsid w:val="00887D40"/>
    <w:rsid w:val="00891531"/>
    <w:rsid w:val="00895B16"/>
    <w:rsid w:val="008A2B0F"/>
    <w:rsid w:val="008A468E"/>
    <w:rsid w:val="008A6C06"/>
    <w:rsid w:val="008A7C12"/>
    <w:rsid w:val="008B000E"/>
    <w:rsid w:val="008B11A2"/>
    <w:rsid w:val="008B3364"/>
    <w:rsid w:val="008C347B"/>
    <w:rsid w:val="008C51FD"/>
    <w:rsid w:val="008C5CAA"/>
    <w:rsid w:val="008C6073"/>
    <w:rsid w:val="008C6ED9"/>
    <w:rsid w:val="008D084F"/>
    <w:rsid w:val="008E1F52"/>
    <w:rsid w:val="008E265A"/>
    <w:rsid w:val="008E27EE"/>
    <w:rsid w:val="008F270A"/>
    <w:rsid w:val="008F6746"/>
    <w:rsid w:val="008F6A24"/>
    <w:rsid w:val="00902749"/>
    <w:rsid w:val="00903538"/>
    <w:rsid w:val="00903EA0"/>
    <w:rsid w:val="00904C96"/>
    <w:rsid w:val="0091347D"/>
    <w:rsid w:val="009209F3"/>
    <w:rsid w:val="009314B8"/>
    <w:rsid w:val="00934706"/>
    <w:rsid w:val="009348F2"/>
    <w:rsid w:val="0093799B"/>
    <w:rsid w:val="00940818"/>
    <w:rsid w:val="00945B55"/>
    <w:rsid w:val="00947FEA"/>
    <w:rsid w:val="00966885"/>
    <w:rsid w:val="00966AE2"/>
    <w:rsid w:val="009755DC"/>
    <w:rsid w:val="00980E5D"/>
    <w:rsid w:val="009878CA"/>
    <w:rsid w:val="00990238"/>
    <w:rsid w:val="00990F9F"/>
    <w:rsid w:val="00995605"/>
    <w:rsid w:val="00995637"/>
    <w:rsid w:val="00997784"/>
    <w:rsid w:val="00997899"/>
    <w:rsid w:val="009A07C6"/>
    <w:rsid w:val="009A3D12"/>
    <w:rsid w:val="009A3E1B"/>
    <w:rsid w:val="009A7589"/>
    <w:rsid w:val="009B05CA"/>
    <w:rsid w:val="009B1D4B"/>
    <w:rsid w:val="009B5031"/>
    <w:rsid w:val="009C2EB0"/>
    <w:rsid w:val="009C5FB9"/>
    <w:rsid w:val="009C6242"/>
    <w:rsid w:val="009D1A87"/>
    <w:rsid w:val="009D3521"/>
    <w:rsid w:val="009D46DB"/>
    <w:rsid w:val="009E681C"/>
    <w:rsid w:val="009E74B1"/>
    <w:rsid w:val="009F4B9A"/>
    <w:rsid w:val="009F4F3C"/>
    <w:rsid w:val="00A03DF6"/>
    <w:rsid w:val="00A0465E"/>
    <w:rsid w:val="00A066C3"/>
    <w:rsid w:val="00A06E29"/>
    <w:rsid w:val="00A10B43"/>
    <w:rsid w:val="00A1191A"/>
    <w:rsid w:val="00A26612"/>
    <w:rsid w:val="00A3630C"/>
    <w:rsid w:val="00A4208B"/>
    <w:rsid w:val="00A51F32"/>
    <w:rsid w:val="00A526A1"/>
    <w:rsid w:val="00A64AF5"/>
    <w:rsid w:val="00A655AD"/>
    <w:rsid w:val="00A67264"/>
    <w:rsid w:val="00A743EA"/>
    <w:rsid w:val="00A7697C"/>
    <w:rsid w:val="00A803AD"/>
    <w:rsid w:val="00A876B0"/>
    <w:rsid w:val="00A9413D"/>
    <w:rsid w:val="00A956ED"/>
    <w:rsid w:val="00A95A60"/>
    <w:rsid w:val="00A965E1"/>
    <w:rsid w:val="00A978C8"/>
    <w:rsid w:val="00AA6081"/>
    <w:rsid w:val="00AA7B8A"/>
    <w:rsid w:val="00AB0AA2"/>
    <w:rsid w:val="00AB16CA"/>
    <w:rsid w:val="00AB40D9"/>
    <w:rsid w:val="00AB4286"/>
    <w:rsid w:val="00AB7314"/>
    <w:rsid w:val="00AC1E19"/>
    <w:rsid w:val="00AC338F"/>
    <w:rsid w:val="00AC3A9E"/>
    <w:rsid w:val="00AC3BD0"/>
    <w:rsid w:val="00AC43E7"/>
    <w:rsid w:val="00AD1E6D"/>
    <w:rsid w:val="00AD2533"/>
    <w:rsid w:val="00AD584E"/>
    <w:rsid w:val="00AD58EE"/>
    <w:rsid w:val="00AE484D"/>
    <w:rsid w:val="00AF30D7"/>
    <w:rsid w:val="00B013E4"/>
    <w:rsid w:val="00B01B35"/>
    <w:rsid w:val="00B02AA0"/>
    <w:rsid w:val="00B0308B"/>
    <w:rsid w:val="00B05CC2"/>
    <w:rsid w:val="00B12B8B"/>
    <w:rsid w:val="00B212F5"/>
    <w:rsid w:val="00B22992"/>
    <w:rsid w:val="00B23966"/>
    <w:rsid w:val="00B25B41"/>
    <w:rsid w:val="00B266F9"/>
    <w:rsid w:val="00B267F9"/>
    <w:rsid w:val="00B2796B"/>
    <w:rsid w:val="00B32BA7"/>
    <w:rsid w:val="00B35B63"/>
    <w:rsid w:val="00B361DF"/>
    <w:rsid w:val="00B42FF2"/>
    <w:rsid w:val="00B542C2"/>
    <w:rsid w:val="00B5716C"/>
    <w:rsid w:val="00B6049D"/>
    <w:rsid w:val="00B6500B"/>
    <w:rsid w:val="00B65222"/>
    <w:rsid w:val="00B6757B"/>
    <w:rsid w:val="00B70915"/>
    <w:rsid w:val="00B72BBD"/>
    <w:rsid w:val="00B755C9"/>
    <w:rsid w:val="00B75C07"/>
    <w:rsid w:val="00B75ECA"/>
    <w:rsid w:val="00B75F0F"/>
    <w:rsid w:val="00B830DB"/>
    <w:rsid w:val="00B84A29"/>
    <w:rsid w:val="00B84F1D"/>
    <w:rsid w:val="00B92737"/>
    <w:rsid w:val="00B937C1"/>
    <w:rsid w:val="00B93E18"/>
    <w:rsid w:val="00BA63C3"/>
    <w:rsid w:val="00BB1999"/>
    <w:rsid w:val="00BB2348"/>
    <w:rsid w:val="00BB2942"/>
    <w:rsid w:val="00BB7E06"/>
    <w:rsid w:val="00BC3E7B"/>
    <w:rsid w:val="00BC6D99"/>
    <w:rsid w:val="00BC7D8B"/>
    <w:rsid w:val="00BD5414"/>
    <w:rsid w:val="00BD7E61"/>
    <w:rsid w:val="00BE0AF1"/>
    <w:rsid w:val="00BE5A50"/>
    <w:rsid w:val="00BF3D37"/>
    <w:rsid w:val="00C00FF2"/>
    <w:rsid w:val="00C012B0"/>
    <w:rsid w:val="00C0183A"/>
    <w:rsid w:val="00C01850"/>
    <w:rsid w:val="00C025B4"/>
    <w:rsid w:val="00C05227"/>
    <w:rsid w:val="00C07321"/>
    <w:rsid w:val="00C07599"/>
    <w:rsid w:val="00C07A52"/>
    <w:rsid w:val="00C14A6D"/>
    <w:rsid w:val="00C173F5"/>
    <w:rsid w:val="00C2293E"/>
    <w:rsid w:val="00C23E1E"/>
    <w:rsid w:val="00C256F4"/>
    <w:rsid w:val="00C27CD4"/>
    <w:rsid w:val="00C27DD9"/>
    <w:rsid w:val="00C3191D"/>
    <w:rsid w:val="00C31E8C"/>
    <w:rsid w:val="00C32095"/>
    <w:rsid w:val="00C36D25"/>
    <w:rsid w:val="00C37AB1"/>
    <w:rsid w:val="00C402CD"/>
    <w:rsid w:val="00C42E51"/>
    <w:rsid w:val="00C43334"/>
    <w:rsid w:val="00C509C4"/>
    <w:rsid w:val="00C546EE"/>
    <w:rsid w:val="00C561FB"/>
    <w:rsid w:val="00C5696C"/>
    <w:rsid w:val="00C60064"/>
    <w:rsid w:val="00C65C88"/>
    <w:rsid w:val="00C66C79"/>
    <w:rsid w:val="00C67AE9"/>
    <w:rsid w:val="00C707A8"/>
    <w:rsid w:val="00C70A22"/>
    <w:rsid w:val="00C725C6"/>
    <w:rsid w:val="00C8308C"/>
    <w:rsid w:val="00C838A9"/>
    <w:rsid w:val="00C95C6A"/>
    <w:rsid w:val="00CA13D3"/>
    <w:rsid w:val="00CA6203"/>
    <w:rsid w:val="00CB1121"/>
    <w:rsid w:val="00CB735A"/>
    <w:rsid w:val="00CB7F82"/>
    <w:rsid w:val="00CD7448"/>
    <w:rsid w:val="00CE0E99"/>
    <w:rsid w:val="00CE318B"/>
    <w:rsid w:val="00CE3672"/>
    <w:rsid w:val="00CE4673"/>
    <w:rsid w:val="00CE7840"/>
    <w:rsid w:val="00CE7943"/>
    <w:rsid w:val="00CF2260"/>
    <w:rsid w:val="00CF2533"/>
    <w:rsid w:val="00D005B0"/>
    <w:rsid w:val="00D005EE"/>
    <w:rsid w:val="00D03A5E"/>
    <w:rsid w:val="00D05882"/>
    <w:rsid w:val="00D10314"/>
    <w:rsid w:val="00D1334D"/>
    <w:rsid w:val="00D22DC5"/>
    <w:rsid w:val="00D2763A"/>
    <w:rsid w:val="00D27E55"/>
    <w:rsid w:val="00D324C7"/>
    <w:rsid w:val="00D3330F"/>
    <w:rsid w:val="00D3353E"/>
    <w:rsid w:val="00D34524"/>
    <w:rsid w:val="00D357CC"/>
    <w:rsid w:val="00D36322"/>
    <w:rsid w:val="00D36633"/>
    <w:rsid w:val="00D3733F"/>
    <w:rsid w:val="00D3778E"/>
    <w:rsid w:val="00D41252"/>
    <w:rsid w:val="00D41473"/>
    <w:rsid w:val="00D41758"/>
    <w:rsid w:val="00D456FE"/>
    <w:rsid w:val="00D45E2D"/>
    <w:rsid w:val="00D474B9"/>
    <w:rsid w:val="00D51D49"/>
    <w:rsid w:val="00D52A9B"/>
    <w:rsid w:val="00D5357F"/>
    <w:rsid w:val="00D60667"/>
    <w:rsid w:val="00D665C7"/>
    <w:rsid w:val="00D6664F"/>
    <w:rsid w:val="00D66DA2"/>
    <w:rsid w:val="00D67BF9"/>
    <w:rsid w:val="00D7187A"/>
    <w:rsid w:val="00D769C6"/>
    <w:rsid w:val="00D85CF1"/>
    <w:rsid w:val="00D85F83"/>
    <w:rsid w:val="00D86A4F"/>
    <w:rsid w:val="00D91173"/>
    <w:rsid w:val="00D91EEC"/>
    <w:rsid w:val="00D94233"/>
    <w:rsid w:val="00DA2375"/>
    <w:rsid w:val="00DA30AB"/>
    <w:rsid w:val="00DA7FA2"/>
    <w:rsid w:val="00DB1F26"/>
    <w:rsid w:val="00DB5615"/>
    <w:rsid w:val="00DB63FA"/>
    <w:rsid w:val="00DB78EB"/>
    <w:rsid w:val="00DB7C79"/>
    <w:rsid w:val="00DC3BE4"/>
    <w:rsid w:val="00DC4285"/>
    <w:rsid w:val="00DC4811"/>
    <w:rsid w:val="00DC59A4"/>
    <w:rsid w:val="00DC6F5F"/>
    <w:rsid w:val="00DC7F0E"/>
    <w:rsid w:val="00DD02E8"/>
    <w:rsid w:val="00DD0390"/>
    <w:rsid w:val="00DD1599"/>
    <w:rsid w:val="00DD20EE"/>
    <w:rsid w:val="00DD5DC2"/>
    <w:rsid w:val="00DD6163"/>
    <w:rsid w:val="00DE1662"/>
    <w:rsid w:val="00DE36FE"/>
    <w:rsid w:val="00DE3C73"/>
    <w:rsid w:val="00DE4F22"/>
    <w:rsid w:val="00DE5DCF"/>
    <w:rsid w:val="00DF213B"/>
    <w:rsid w:val="00DF3551"/>
    <w:rsid w:val="00DF5584"/>
    <w:rsid w:val="00DF7147"/>
    <w:rsid w:val="00DF7469"/>
    <w:rsid w:val="00E01A98"/>
    <w:rsid w:val="00E0475B"/>
    <w:rsid w:val="00E04940"/>
    <w:rsid w:val="00E073FC"/>
    <w:rsid w:val="00E11C5E"/>
    <w:rsid w:val="00E11E15"/>
    <w:rsid w:val="00E14507"/>
    <w:rsid w:val="00E15F7A"/>
    <w:rsid w:val="00E208D6"/>
    <w:rsid w:val="00E214DE"/>
    <w:rsid w:val="00E21909"/>
    <w:rsid w:val="00E2282C"/>
    <w:rsid w:val="00E23E5C"/>
    <w:rsid w:val="00E253DF"/>
    <w:rsid w:val="00E31B40"/>
    <w:rsid w:val="00E40ABE"/>
    <w:rsid w:val="00E44FD5"/>
    <w:rsid w:val="00E46FDC"/>
    <w:rsid w:val="00E530D5"/>
    <w:rsid w:val="00E539D3"/>
    <w:rsid w:val="00E53B23"/>
    <w:rsid w:val="00E552C5"/>
    <w:rsid w:val="00E67BB8"/>
    <w:rsid w:val="00E7023B"/>
    <w:rsid w:val="00E71AF9"/>
    <w:rsid w:val="00E71E0E"/>
    <w:rsid w:val="00E74577"/>
    <w:rsid w:val="00E80ADA"/>
    <w:rsid w:val="00E81EB6"/>
    <w:rsid w:val="00E830AD"/>
    <w:rsid w:val="00E92A00"/>
    <w:rsid w:val="00E941A4"/>
    <w:rsid w:val="00E94C29"/>
    <w:rsid w:val="00E955FE"/>
    <w:rsid w:val="00E97BD3"/>
    <w:rsid w:val="00EA0042"/>
    <w:rsid w:val="00EA004C"/>
    <w:rsid w:val="00EA1321"/>
    <w:rsid w:val="00EB5FCB"/>
    <w:rsid w:val="00EB6988"/>
    <w:rsid w:val="00EC00AA"/>
    <w:rsid w:val="00EC1211"/>
    <w:rsid w:val="00EC31C5"/>
    <w:rsid w:val="00EC3367"/>
    <w:rsid w:val="00EC656A"/>
    <w:rsid w:val="00ED4EBF"/>
    <w:rsid w:val="00EE15C9"/>
    <w:rsid w:val="00EE6B94"/>
    <w:rsid w:val="00EE735A"/>
    <w:rsid w:val="00EF3276"/>
    <w:rsid w:val="00F01C67"/>
    <w:rsid w:val="00F0317B"/>
    <w:rsid w:val="00F067F6"/>
    <w:rsid w:val="00F06ECC"/>
    <w:rsid w:val="00F10252"/>
    <w:rsid w:val="00F112DD"/>
    <w:rsid w:val="00F141D8"/>
    <w:rsid w:val="00F1605D"/>
    <w:rsid w:val="00F23061"/>
    <w:rsid w:val="00F248F8"/>
    <w:rsid w:val="00F26556"/>
    <w:rsid w:val="00F347A1"/>
    <w:rsid w:val="00F41CF3"/>
    <w:rsid w:val="00F42D32"/>
    <w:rsid w:val="00F45862"/>
    <w:rsid w:val="00F569B6"/>
    <w:rsid w:val="00F63524"/>
    <w:rsid w:val="00F65511"/>
    <w:rsid w:val="00F67F2B"/>
    <w:rsid w:val="00F71480"/>
    <w:rsid w:val="00F75288"/>
    <w:rsid w:val="00F86A34"/>
    <w:rsid w:val="00F876A4"/>
    <w:rsid w:val="00FA0BDB"/>
    <w:rsid w:val="00FB101D"/>
    <w:rsid w:val="00FB128A"/>
    <w:rsid w:val="00FB1CD5"/>
    <w:rsid w:val="00FB20CE"/>
    <w:rsid w:val="00FB3F50"/>
    <w:rsid w:val="00FB5C6E"/>
    <w:rsid w:val="00FB6AB3"/>
    <w:rsid w:val="00FB7280"/>
    <w:rsid w:val="00FB7BF2"/>
    <w:rsid w:val="00FC18F6"/>
    <w:rsid w:val="00FD1112"/>
    <w:rsid w:val="00FD3A95"/>
    <w:rsid w:val="00FE0065"/>
    <w:rsid w:val="00FE10DD"/>
    <w:rsid w:val="00FE54E9"/>
    <w:rsid w:val="00FE6D09"/>
    <w:rsid w:val="00FE7BA3"/>
    <w:rsid w:val="00FF21C5"/>
    <w:rsid w:val="00FF5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C3C9D"/>
  <w15:docId w15:val="{1AF78BD6-6F50-407E-9E83-ECB19D39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r-Latn-ME"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B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D547C"/>
    <w:pPr>
      <w:keepNext/>
      <w:keepLines/>
      <w:pageBreakBefore/>
      <w:numPr>
        <w:numId w:val="1"/>
      </w:numPr>
      <w:pBdr>
        <w:top w:val="single" w:sz="48" w:space="0" w:color="F5C1C6"/>
      </w:pBdr>
      <w:suppressAutoHyphens/>
      <w:autoSpaceDE w:val="0"/>
      <w:autoSpaceDN w:val="0"/>
      <w:adjustRightInd w:val="0"/>
      <w:spacing w:before="120" w:after="600"/>
      <w:jc w:val="both"/>
      <w:outlineLvl w:val="0"/>
    </w:pPr>
    <w:rPr>
      <w:rFonts w:ascii="Tahoma" w:hAnsi="Tahoma" w:cs="Tahoma"/>
      <w:iCs/>
      <w:caps/>
      <w:color w:val="BE1D2D"/>
      <w:sz w:val="48"/>
      <w:szCs w:val="48"/>
      <w:lang w:val="hr-HR" w:eastAsia="hr-HR"/>
    </w:rPr>
  </w:style>
  <w:style w:type="paragraph" w:styleId="Heading2">
    <w:name w:val="heading 2"/>
    <w:basedOn w:val="Normal"/>
    <w:next w:val="Normal"/>
    <w:link w:val="Heading2Char"/>
    <w:uiPriority w:val="9"/>
    <w:unhideWhenUsed/>
    <w:qFormat/>
    <w:rsid w:val="00E61B83"/>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1F69"/>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2D547C"/>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Heading5"/>
    <w:next w:val="Normal"/>
    <w:link w:val="Heading6Char"/>
    <w:uiPriority w:val="9"/>
    <w:semiHidden/>
    <w:unhideWhenUsed/>
    <w:qFormat/>
    <w:rsid w:val="002D547C"/>
    <w:pPr>
      <w:numPr>
        <w:ilvl w:val="5"/>
        <w:numId w:val="1"/>
      </w:numPr>
      <w:tabs>
        <w:tab w:val="left" w:pos="-284"/>
        <w:tab w:val="num" w:pos="567"/>
      </w:tabs>
      <w:suppressAutoHyphens/>
      <w:spacing w:before="360" w:after="240" w:line="240" w:lineRule="auto"/>
      <w:jc w:val="center"/>
      <w:outlineLvl w:val="5"/>
    </w:pPr>
    <w:rPr>
      <w:rFonts w:ascii="Tahoma" w:hAnsi="Tahoma" w:cs="Times New Roman"/>
      <w:b/>
      <w:bCs/>
      <w:i/>
      <w:iCs/>
      <w:color w:val="BE1D2D"/>
      <w:kern w:val="28"/>
      <w:sz w:val="26"/>
      <w:szCs w:val="20"/>
      <w:lang w:val="hr-HR" w:eastAsia="de-DE"/>
    </w:rPr>
  </w:style>
  <w:style w:type="paragraph" w:styleId="Heading7">
    <w:name w:val="heading 7"/>
    <w:basedOn w:val="Heading6"/>
    <w:next w:val="Normal"/>
    <w:link w:val="Heading7Char"/>
    <w:uiPriority w:val="9"/>
    <w:qFormat/>
    <w:rsid w:val="002D547C"/>
    <w:pPr>
      <w:numPr>
        <w:ilvl w:val="6"/>
      </w:numPr>
      <w:tabs>
        <w:tab w:val="num" w:pos="851"/>
      </w:tabs>
      <w:spacing w:before="240"/>
      <w:outlineLvl w:val="6"/>
    </w:pPr>
    <w:rPr>
      <w:szCs w:val="26"/>
    </w:rPr>
  </w:style>
  <w:style w:type="paragraph" w:styleId="Heading8">
    <w:name w:val="heading 8"/>
    <w:basedOn w:val="Heading7"/>
    <w:next w:val="Normal"/>
    <w:link w:val="Heading8Char"/>
    <w:uiPriority w:val="9"/>
    <w:qFormat/>
    <w:rsid w:val="002D547C"/>
    <w:pPr>
      <w:numPr>
        <w:ilvl w:val="7"/>
      </w:numPr>
      <w:tabs>
        <w:tab w:val="num" w:pos="1134"/>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paragraph" w:styleId="Header">
    <w:name w:val="header"/>
    <w:basedOn w:val="Normal"/>
    <w:link w:val="HeaderChar"/>
    <w:uiPriority w:val="99"/>
    <w:unhideWhenUsed/>
    <w:rsid w:val="006604F2"/>
    <w:pPr>
      <w:tabs>
        <w:tab w:val="center" w:pos="4513"/>
        <w:tab w:val="right" w:pos="9026"/>
      </w:tabs>
    </w:pPr>
    <w:rPr>
      <w:rFonts w:ascii="Calibri" w:eastAsia="Calibri" w:hAnsi="Calibri" w:cs="Calibri"/>
      <w:sz w:val="22"/>
      <w:szCs w:val="22"/>
    </w:rPr>
  </w:style>
  <w:style w:type="character" w:customStyle="1" w:styleId="HeaderChar">
    <w:name w:val="Header Char"/>
    <w:basedOn w:val="DefaultParagraphFont"/>
    <w:link w:val="Header"/>
    <w:uiPriority w:val="99"/>
    <w:rsid w:val="006604F2"/>
  </w:style>
  <w:style w:type="paragraph" w:styleId="Footer">
    <w:name w:val="footer"/>
    <w:basedOn w:val="Normal"/>
    <w:link w:val="FooterChar"/>
    <w:uiPriority w:val="99"/>
    <w:unhideWhenUsed/>
    <w:rsid w:val="006604F2"/>
    <w:pPr>
      <w:tabs>
        <w:tab w:val="center" w:pos="4513"/>
        <w:tab w:val="right" w:pos="9026"/>
      </w:tabs>
    </w:pPr>
    <w:rPr>
      <w:rFonts w:ascii="Calibri" w:eastAsia="Calibri" w:hAnsi="Calibri" w:cs="Calibri"/>
      <w:sz w:val="22"/>
      <w:szCs w:val="22"/>
    </w:rPr>
  </w:style>
  <w:style w:type="character" w:customStyle="1" w:styleId="FooterChar">
    <w:name w:val="Footer Char"/>
    <w:basedOn w:val="DefaultParagraphFont"/>
    <w:link w:val="Footer"/>
    <w:uiPriority w:val="99"/>
    <w:rsid w:val="006604F2"/>
  </w:style>
  <w:style w:type="table" w:styleId="TableGrid">
    <w:name w:val="Table Grid"/>
    <w:basedOn w:val="TableNormal"/>
    <w:uiPriority w:val="39"/>
    <w:rsid w:val="00874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547C"/>
    <w:rPr>
      <w:rFonts w:ascii="Tahoma" w:eastAsia="Times New Roman" w:hAnsi="Tahoma" w:cs="Tahoma"/>
      <w:iCs/>
      <w:caps/>
      <w:color w:val="BE1D2D"/>
      <w:sz w:val="48"/>
      <w:szCs w:val="48"/>
      <w:lang w:val="hr-HR" w:eastAsia="hr-HR"/>
    </w:rPr>
  </w:style>
  <w:style w:type="character" w:customStyle="1" w:styleId="Heading6Char">
    <w:name w:val="Heading 6 Char"/>
    <w:basedOn w:val="DefaultParagraphFont"/>
    <w:link w:val="Heading6"/>
    <w:uiPriority w:val="9"/>
    <w:rsid w:val="002D547C"/>
    <w:rPr>
      <w:rFonts w:ascii="Tahoma" w:eastAsiaTheme="majorEastAsia" w:hAnsi="Tahoma" w:cs="Times New Roman"/>
      <w:b/>
      <w:bCs/>
      <w:i/>
      <w:iCs/>
      <w:color w:val="BE1D2D"/>
      <w:kern w:val="28"/>
      <w:sz w:val="26"/>
      <w:szCs w:val="20"/>
      <w:lang w:val="hr-HR" w:eastAsia="de-DE"/>
    </w:rPr>
  </w:style>
  <w:style w:type="character" w:customStyle="1" w:styleId="Heading7Char">
    <w:name w:val="Heading 7 Char"/>
    <w:basedOn w:val="DefaultParagraphFont"/>
    <w:link w:val="Heading7"/>
    <w:uiPriority w:val="9"/>
    <w:rsid w:val="002D547C"/>
    <w:rPr>
      <w:rFonts w:ascii="Tahoma" w:eastAsiaTheme="majorEastAsia" w:hAnsi="Tahoma" w:cs="Times New Roman"/>
      <w:b/>
      <w:bCs/>
      <w:i/>
      <w:iCs/>
      <w:color w:val="BE1D2D"/>
      <w:kern w:val="28"/>
      <w:sz w:val="26"/>
      <w:szCs w:val="26"/>
      <w:lang w:val="hr-HR" w:eastAsia="de-DE"/>
    </w:rPr>
  </w:style>
  <w:style w:type="character" w:customStyle="1" w:styleId="Heading8Char">
    <w:name w:val="Heading 8 Char"/>
    <w:basedOn w:val="DefaultParagraphFont"/>
    <w:link w:val="Heading8"/>
    <w:uiPriority w:val="9"/>
    <w:rsid w:val="002D547C"/>
    <w:rPr>
      <w:rFonts w:ascii="Tahoma" w:eastAsiaTheme="majorEastAsia" w:hAnsi="Tahoma" w:cs="Times New Roman"/>
      <w:b/>
      <w:bCs/>
      <w:i/>
      <w:iCs/>
      <w:color w:val="BE1D2D"/>
      <w:kern w:val="28"/>
      <w:sz w:val="26"/>
      <w:szCs w:val="26"/>
      <w:lang w:val="hr-HR" w:eastAsia="de-DE"/>
    </w:rPr>
  </w:style>
  <w:style w:type="paragraph" w:styleId="ListParagraph">
    <w:name w:val="List Paragraph"/>
    <w:aliases w:val="REPORT Bullet,Table/Figure Heading,En tête 1,List Paragraph1"/>
    <w:basedOn w:val="Normal"/>
    <w:link w:val="ListParagraphChar"/>
    <w:uiPriority w:val="34"/>
    <w:qFormat/>
    <w:rsid w:val="002D547C"/>
    <w:pPr>
      <w:keepLines/>
      <w:suppressAutoHyphens/>
      <w:spacing w:before="60" w:after="60"/>
      <w:ind w:left="720" w:hanging="360"/>
      <w:jc w:val="both"/>
    </w:pPr>
    <w:rPr>
      <w:rFonts w:ascii="Tahoma" w:hAnsi="Tahoma" w:cs="Myriad Pro"/>
      <w:sz w:val="20"/>
      <w:lang w:val="hr-HR" w:eastAsia="hr-HR"/>
    </w:rPr>
  </w:style>
  <w:style w:type="character" w:customStyle="1" w:styleId="ListParagraphChar">
    <w:name w:val="List Paragraph Char"/>
    <w:aliases w:val="REPORT Bullet Char,Table/Figure Heading Char,En tête 1 Char,List Paragraph1 Char"/>
    <w:basedOn w:val="DefaultParagraphFont"/>
    <w:link w:val="ListParagraph"/>
    <w:uiPriority w:val="34"/>
    <w:rsid w:val="002D547C"/>
    <w:rPr>
      <w:rFonts w:ascii="Tahoma" w:eastAsia="Times New Roman" w:hAnsi="Tahoma" w:cs="Myriad Pro"/>
      <w:sz w:val="20"/>
      <w:szCs w:val="24"/>
      <w:lang w:val="hr-HR" w:eastAsia="hr-HR"/>
    </w:rPr>
  </w:style>
  <w:style w:type="paragraph" w:styleId="TOC2">
    <w:name w:val="toc 2"/>
    <w:basedOn w:val="Normal"/>
    <w:next w:val="Normal"/>
    <w:autoRedefine/>
    <w:uiPriority w:val="39"/>
    <w:qFormat/>
    <w:rsid w:val="002D547C"/>
    <w:pPr>
      <w:shd w:val="clear" w:color="auto" w:fill="2F5496" w:themeFill="accent1" w:themeFillShade="BF"/>
      <w:tabs>
        <w:tab w:val="left" w:pos="709"/>
        <w:tab w:val="right" w:leader="dot" w:pos="9356"/>
      </w:tabs>
      <w:spacing w:before="120" w:after="60"/>
      <w:jc w:val="both"/>
    </w:pPr>
    <w:rPr>
      <w:rFonts w:ascii="Tahoma" w:hAnsi="Tahoma" w:cs="Tahoma"/>
      <w:b/>
      <w:smallCaps/>
      <w:color w:val="FFFFFF" w:themeColor="background1"/>
      <w:sz w:val="22"/>
      <w:szCs w:val="22"/>
      <w:lang w:val="hr-HR" w:eastAsia="de-DE"/>
    </w:rPr>
  </w:style>
  <w:style w:type="character" w:customStyle="1" w:styleId="Tbl1redChar">
    <w:name w:val="Tbl 1. red Char"/>
    <w:basedOn w:val="DefaultParagraphFont"/>
    <w:link w:val="Tbl1red"/>
    <w:uiPriority w:val="99"/>
    <w:rsid w:val="002D547C"/>
    <w:rPr>
      <w:rFonts w:ascii="Tahoma" w:eastAsia="Times New Roman" w:hAnsi="Tahoma" w:cs="Tahoma"/>
      <w:b/>
      <w:bCs/>
      <w:sz w:val="16"/>
      <w:szCs w:val="16"/>
      <w:shd w:val="clear" w:color="auto" w:fill="FFA7A7"/>
      <w:lang w:eastAsia="hr-HR"/>
    </w:rPr>
  </w:style>
  <w:style w:type="paragraph" w:customStyle="1" w:styleId="Tbl1red">
    <w:name w:val="Tbl 1. red"/>
    <w:basedOn w:val="Normal"/>
    <w:link w:val="Tbl1redChar"/>
    <w:uiPriority w:val="99"/>
    <w:qFormat/>
    <w:rsid w:val="002D547C"/>
    <w:pPr>
      <w:keepNext/>
      <w:shd w:val="clear" w:color="auto" w:fill="FFA7A7"/>
      <w:spacing w:before="80" w:after="80"/>
      <w:jc w:val="center"/>
    </w:pPr>
    <w:rPr>
      <w:rFonts w:ascii="Tahoma" w:hAnsi="Tahoma" w:cs="Tahoma"/>
      <w:b/>
      <w:bCs/>
      <w:sz w:val="16"/>
      <w:szCs w:val="16"/>
      <w:lang w:eastAsia="hr-HR"/>
    </w:rPr>
  </w:style>
  <w:style w:type="character" w:customStyle="1" w:styleId="Heading5Char">
    <w:name w:val="Heading 5 Char"/>
    <w:basedOn w:val="DefaultParagraphFont"/>
    <w:link w:val="Heading5"/>
    <w:uiPriority w:val="9"/>
    <w:semiHidden/>
    <w:rsid w:val="002D547C"/>
    <w:rPr>
      <w:rFonts w:asciiTheme="majorHAnsi" w:eastAsiaTheme="majorEastAsia" w:hAnsiTheme="majorHAnsi" w:cstheme="majorBidi"/>
      <w:color w:val="2F5496" w:themeColor="accent1" w:themeShade="BF"/>
    </w:rPr>
  </w:style>
  <w:style w:type="table" w:customStyle="1" w:styleId="GridTable1Light-Accent11">
    <w:name w:val="Grid Table 1 Light - Accent 11"/>
    <w:basedOn w:val="TableNormal"/>
    <w:uiPriority w:val="46"/>
    <w:rsid w:val="002D547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2D54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47C"/>
    <w:rPr>
      <w:rFonts w:ascii="Segoe UI" w:hAnsi="Segoe UI" w:cs="Segoe UI"/>
      <w:sz w:val="18"/>
      <w:szCs w:val="18"/>
    </w:rPr>
  </w:style>
  <w:style w:type="character" w:customStyle="1" w:styleId="Heading2Char">
    <w:name w:val="Heading 2 Char"/>
    <w:basedOn w:val="DefaultParagraphFont"/>
    <w:link w:val="Heading2"/>
    <w:uiPriority w:val="9"/>
    <w:rsid w:val="00E61B83"/>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D0B9A"/>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3D0B9A"/>
    <w:rPr>
      <w:sz w:val="20"/>
      <w:szCs w:val="20"/>
    </w:rPr>
  </w:style>
  <w:style w:type="character" w:styleId="FootnoteReference">
    <w:name w:val="footnote reference"/>
    <w:basedOn w:val="DefaultParagraphFont"/>
    <w:uiPriority w:val="99"/>
    <w:semiHidden/>
    <w:unhideWhenUsed/>
    <w:rsid w:val="003D0B9A"/>
    <w:rPr>
      <w:vertAlign w:val="superscript"/>
    </w:rPr>
  </w:style>
  <w:style w:type="character" w:styleId="CommentReference">
    <w:name w:val="annotation reference"/>
    <w:basedOn w:val="DefaultParagraphFont"/>
    <w:uiPriority w:val="99"/>
    <w:semiHidden/>
    <w:unhideWhenUsed/>
    <w:rsid w:val="00A104C7"/>
    <w:rPr>
      <w:sz w:val="16"/>
      <w:szCs w:val="16"/>
    </w:rPr>
  </w:style>
  <w:style w:type="paragraph" w:styleId="CommentText">
    <w:name w:val="annotation text"/>
    <w:basedOn w:val="Normal"/>
    <w:link w:val="CommentTextChar"/>
    <w:uiPriority w:val="99"/>
    <w:unhideWhenUsed/>
    <w:rsid w:val="00A104C7"/>
    <w:rPr>
      <w:sz w:val="20"/>
      <w:szCs w:val="20"/>
    </w:rPr>
  </w:style>
  <w:style w:type="character" w:customStyle="1" w:styleId="CommentTextChar">
    <w:name w:val="Comment Text Char"/>
    <w:basedOn w:val="DefaultParagraphFont"/>
    <w:link w:val="CommentText"/>
    <w:uiPriority w:val="99"/>
    <w:rsid w:val="00A104C7"/>
    <w:rPr>
      <w:sz w:val="20"/>
      <w:szCs w:val="20"/>
    </w:rPr>
  </w:style>
  <w:style w:type="paragraph" w:styleId="CommentSubject">
    <w:name w:val="annotation subject"/>
    <w:basedOn w:val="CommentText"/>
    <w:next w:val="CommentText"/>
    <w:link w:val="CommentSubjectChar"/>
    <w:uiPriority w:val="99"/>
    <w:semiHidden/>
    <w:unhideWhenUsed/>
    <w:rsid w:val="00A104C7"/>
    <w:rPr>
      <w:b/>
      <w:bCs/>
    </w:rPr>
  </w:style>
  <w:style w:type="character" w:customStyle="1" w:styleId="CommentSubjectChar">
    <w:name w:val="Comment Subject Char"/>
    <w:basedOn w:val="CommentTextChar"/>
    <w:link w:val="CommentSubject"/>
    <w:uiPriority w:val="99"/>
    <w:semiHidden/>
    <w:rsid w:val="00A104C7"/>
    <w:rPr>
      <w:b/>
      <w:bCs/>
      <w:sz w:val="20"/>
      <w:szCs w:val="20"/>
    </w:rPr>
  </w:style>
  <w:style w:type="character" w:styleId="Hyperlink">
    <w:name w:val="Hyperlink"/>
    <w:basedOn w:val="DefaultParagraphFont"/>
    <w:uiPriority w:val="99"/>
    <w:unhideWhenUsed/>
    <w:rsid w:val="00812AAE"/>
    <w:rPr>
      <w:color w:val="0563C1" w:themeColor="hyperlink"/>
      <w:u w:val="single"/>
    </w:rPr>
  </w:style>
  <w:style w:type="paragraph" w:styleId="NoSpacing">
    <w:name w:val="No Spacing"/>
    <w:uiPriority w:val="1"/>
    <w:qFormat/>
    <w:rsid w:val="008F43E9"/>
    <w:pPr>
      <w:spacing w:after="0" w:line="240" w:lineRule="auto"/>
    </w:pPr>
  </w:style>
  <w:style w:type="paragraph" w:customStyle="1" w:styleId="Default">
    <w:name w:val="Default"/>
    <w:rsid w:val="002B5E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671F69"/>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E94C29"/>
    <w:pPr>
      <w:spacing w:after="0" w:line="240" w:lineRule="auto"/>
    </w:pPr>
    <w:rPr>
      <w:rFonts w:ascii="Times New Roman" w:eastAsia="Times New Roman" w:hAnsi="Times New Roman" w:cs="Times New Roman"/>
      <w:sz w:val="24"/>
      <w:szCs w:val="24"/>
      <w:lang w:val="en-GB"/>
    </w:rPr>
  </w:style>
  <w:style w:type="paragraph" w:styleId="TOCHeading">
    <w:name w:val="TOC Heading"/>
    <w:basedOn w:val="Heading1"/>
    <w:next w:val="Normal"/>
    <w:uiPriority w:val="39"/>
    <w:unhideWhenUsed/>
    <w:qFormat/>
    <w:rsid w:val="009E74B1"/>
    <w:pPr>
      <w:pageBreakBefore w:val="0"/>
      <w:numPr>
        <w:numId w:val="0"/>
      </w:numPr>
      <w:pBdr>
        <w:top w:val="none" w:sz="0" w:space="0" w:color="auto"/>
      </w:pBdr>
      <w:suppressAutoHyphens w:val="0"/>
      <w:autoSpaceDE/>
      <w:autoSpaceDN/>
      <w:adjustRightInd/>
      <w:spacing w:before="240" w:after="0" w:line="259" w:lineRule="auto"/>
      <w:jc w:val="left"/>
      <w:outlineLvl w:val="9"/>
    </w:pPr>
    <w:rPr>
      <w:rFonts w:asciiTheme="majorHAnsi" w:eastAsiaTheme="majorEastAsia" w:hAnsiTheme="majorHAnsi" w:cstheme="majorBidi"/>
      <w:iCs w:val="0"/>
      <w:caps w:val="0"/>
      <w:color w:val="2F5496" w:themeColor="accent1" w:themeShade="BF"/>
      <w:sz w:val="32"/>
      <w:szCs w:val="32"/>
      <w:lang w:val="en-US" w:eastAsia="en-US"/>
    </w:rPr>
  </w:style>
  <w:style w:type="paragraph" w:styleId="TOC1">
    <w:name w:val="toc 1"/>
    <w:basedOn w:val="Normal"/>
    <w:next w:val="Normal"/>
    <w:autoRedefine/>
    <w:uiPriority w:val="39"/>
    <w:unhideWhenUsed/>
    <w:rsid w:val="009E74B1"/>
    <w:pPr>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9E74B1"/>
    <w:pPr>
      <w:spacing w:after="100" w:line="259" w:lineRule="auto"/>
      <w:ind w:left="44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1467">
      <w:bodyDiv w:val="1"/>
      <w:marLeft w:val="0"/>
      <w:marRight w:val="0"/>
      <w:marTop w:val="0"/>
      <w:marBottom w:val="0"/>
      <w:divBdr>
        <w:top w:val="none" w:sz="0" w:space="0" w:color="auto"/>
        <w:left w:val="none" w:sz="0" w:space="0" w:color="auto"/>
        <w:bottom w:val="none" w:sz="0" w:space="0" w:color="auto"/>
        <w:right w:val="none" w:sz="0" w:space="0" w:color="auto"/>
      </w:divBdr>
    </w:div>
    <w:div w:id="93668282">
      <w:bodyDiv w:val="1"/>
      <w:marLeft w:val="0"/>
      <w:marRight w:val="0"/>
      <w:marTop w:val="0"/>
      <w:marBottom w:val="0"/>
      <w:divBdr>
        <w:top w:val="none" w:sz="0" w:space="0" w:color="auto"/>
        <w:left w:val="none" w:sz="0" w:space="0" w:color="auto"/>
        <w:bottom w:val="none" w:sz="0" w:space="0" w:color="auto"/>
        <w:right w:val="none" w:sz="0" w:space="0" w:color="auto"/>
      </w:divBdr>
    </w:div>
    <w:div w:id="257491868">
      <w:bodyDiv w:val="1"/>
      <w:marLeft w:val="0"/>
      <w:marRight w:val="0"/>
      <w:marTop w:val="0"/>
      <w:marBottom w:val="0"/>
      <w:divBdr>
        <w:top w:val="none" w:sz="0" w:space="0" w:color="auto"/>
        <w:left w:val="none" w:sz="0" w:space="0" w:color="auto"/>
        <w:bottom w:val="none" w:sz="0" w:space="0" w:color="auto"/>
        <w:right w:val="none" w:sz="0" w:space="0" w:color="auto"/>
      </w:divBdr>
    </w:div>
    <w:div w:id="267465293">
      <w:bodyDiv w:val="1"/>
      <w:marLeft w:val="0"/>
      <w:marRight w:val="0"/>
      <w:marTop w:val="0"/>
      <w:marBottom w:val="0"/>
      <w:divBdr>
        <w:top w:val="none" w:sz="0" w:space="0" w:color="auto"/>
        <w:left w:val="none" w:sz="0" w:space="0" w:color="auto"/>
        <w:bottom w:val="none" w:sz="0" w:space="0" w:color="auto"/>
        <w:right w:val="none" w:sz="0" w:space="0" w:color="auto"/>
      </w:divBdr>
    </w:div>
    <w:div w:id="357316549">
      <w:bodyDiv w:val="1"/>
      <w:marLeft w:val="0"/>
      <w:marRight w:val="0"/>
      <w:marTop w:val="0"/>
      <w:marBottom w:val="0"/>
      <w:divBdr>
        <w:top w:val="none" w:sz="0" w:space="0" w:color="auto"/>
        <w:left w:val="none" w:sz="0" w:space="0" w:color="auto"/>
        <w:bottom w:val="none" w:sz="0" w:space="0" w:color="auto"/>
        <w:right w:val="none" w:sz="0" w:space="0" w:color="auto"/>
      </w:divBdr>
    </w:div>
    <w:div w:id="428696620">
      <w:bodyDiv w:val="1"/>
      <w:marLeft w:val="0"/>
      <w:marRight w:val="0"/>
      <w:marTop w:val="0"/>
      <w:marBottom w:val="0"/>
      <w:divBdr>
        <w:top w:val="none" w:sz="0" w:space="0" w:color="auto"/>
        <w:left w:val="none" w:sz="0" w:space="0" w:color="auto"/>
        <w:bottom w:val="none" w:sz="0" w:space="0" w:color="auto"/>
        <w:right w:val="none" w:sz="0" w:space="0" w:color="auto"/>
      </w:divBdr>
    </w:div>
    <w:div w:id="609703138">
      <w:bodyDiv w:val="1"/>
      <w:marLeft w:val="0"/>
      <w:marRight w:val="0"/>
      <w:marTop w:val="0"/>
      <w:marBottom w:val="0"/>
      <w:divBdr>
        <w:top w:val="none" w:sz="0" w:space="0" w:color="auto"/>
        <w:left w:val="none" w:sz="0" w:space="0" w:color="auto"/>
        <w:bottom w:val="none" w:sz="0" w:space="0" w:color="auto"/>
        <w:right w:val="none" w:sz="0" w:space="0" w:color="auto"/>
      </w:divBdr>
    </w:div>
    <w:div w:id="627591929">
      <w:bodyDiv w:val="1"/>
      <w:marLeft w:val="0"/>
      <w:marRight w:val="0"/>
      <w:marTop w:val="0"/>
      <w:marBottom w:val="0"/>
      <w:divBdr>
        <w:top w:val="none" w:sz="0" w:space="0" w:color="auto"/>
        <w:left w:val="none" w:sz="0" w:space="0" w:color="auto"/>
        <w:bottom w:val="none" w:sz="0" w:space="0" w:color="auto"/>
        <w:right w:val="none" w:sz="0" w:space="0" w:color="auto"/>
      </w:divBdr>
    </w:div>
    <w:div w:id="645476075">
      <w:bodyDiv w:val="1"/>
      <w:marLeft w:val="0"/>
      <w:marRight w:val="0"/>
      <w:marTop w:val="0"/>
      <w:marBottom w:val="0"/>
      <w:divBdr>
        <w:top w:val="none" w:sz="0" w:space="0" w:color="auto"/>
        <w:left w:val="none" w:sz="0" w:space="0" w:color="auto"/>
        <w:bottom w:val="none" w:sz="0" w:space="0" w:color="auto"/>
        <w:right w:val="none" w:sz="0" w:space="0" w:color="auto"/>
      </w:divBdr>
    </w:div>
    <w:div w:id="667637445">
      <w:bodyDiv w:val="1"/>
      <w:marLeft w:val="0"/>
      <w:marRight w:val="0"/>
      <w:marTop w:val="0"/>
      <w:marBottom w:val="0"/>
      <w:divBdr>
        <w:top w:val="none" w:sz="0" w:space="0" w:color="auto"/>
        <w:left w:val="none" w:sz="0" w:space="0" w:color="auto"/>
        <w:bottom w:val="none" w:sz="0" w:space="0" w:color="auto"/>
        <w:right w:val="none" w:sz="0" w:space="0" w:color="auto"/>
      </w:divBdr>
    </w:div>
    <w:div w:id="711611933">
      <w:bodyDiv w:val="1"/>
      <w:marLeft w:val="0"/>
      <w:marRight w:val="0"/>
      <w:marTop w:val="0"/>
      <w:marBottom w:val="0"/>
      <w:divBdr>
        <w:top w:val="none" w:sz="0" w:space="0" w:color="auto"/>
        <w:left w:val="none" w:sz="0" w:space="0" w:color="auto"/>
        <w:bottom w:val="none" w:sz="0" w:space="0" w:color="auto"/>
        <w:right w:val="none" w:sz="0" w:space="0" w:color="auto"/>
      </w:divBdr>
    </w:div>
    <w:div w:id="714810794">
      <w:bodyDiv w:val="1"/>
      <w:marLeft w:val="0"/>
      <w:marRight w:val="0"/>
      <w:marTop w:val="0"/>
      <w:marBottom w:val="0"/>
      <w:divBdr>
        <w:top w:val="none" w:sz="0" w:space="0" w:color="auto"/>
        <w:left w:val="none" w:sz="0" w:space="0" w:color="auto"/>
        <w:bottom w:val="none" w:sz="0" w:space="0" w:color="auto"/>
        <w:right w:val="none" w:sz="0" w:space="0" w:color="auto"/>
      </w:divBdr>
    </w:div>
    <w:div w:id="714934160">
      <w:bodyDiv w:val="1"/>
      <w:marLeft w:val="0"/>
      <w:marRight w:val="0"/>
      <w:marTop w:val="0"/>
      <w:marBottom w:val="0"/>
      <w:divBdr>
        <w:top w:val="none" w:sz="0" w:space="0" w:color="auto"/>
        <w:left w:val="none" w:sz="0" w:space="0" w:color="auto"/>
        <w:bottom w:val="none" w:sz="0" w:space="0" w:color="auto"/>
        <w:right w:val="none" w:sz="0" w:space="0" w:color="auto"/>
      </w:divBdr>
    </w:div>
    <w:div w:id="780075604">
      <w:bodyDiv w:val="1"/>
      <w:marLeft w:val="0"/>
      <w:marRight w:val="0"/>
      <w:marTop w:val="0"/>
      <w:marBottom w:val="0"/>
      <w:divBdr>
        <w:top w:val="none" w:sz="0" w:space="0" w:color="auto"/>
        <w:left w:val="none" w:sz="0" w:space="0" w:color="auto"/>
        <w:bottom w:val="none" w:sz="0" w:space="0" w:color="auto"/>
        <w:right w:val="none" w:sz="0" w:space="0" w:color="auto"/>
      </w:divBdr>
    </w:div>
    <w:div w:id="808783698">
      <w:bodyDiv w:val="1"/>
      <w:marLeft w:val="0"/>
      <w:marRight w:val="0"/>
      <w:marTop w:val="0"/>
      <w:marBottom w:val="0"/>
      <w:divBdr>
        <w:top w:val="none" w:sz="0" w:space="0" w:color="auto"/>
        <w:left w:val="none" w:sz="0" w:space="0" w:color="auto"/>
        <w:bottom w:val="none" w:sz="0" w:space="0" w:color="auto"/>
        <w:right w:val="none" w:sz="0" w:space="0" w:color="auto"/>
      </w:divBdr>
    </w:div>
    <w:div w:id="827988251">
      <w:bodyDiv w:val="1"/>
      <w:marLeft w:val="0"/>
      <w:marRight w:val="0"/>
      <w:marTop w:val="0"/>
      <w:marBottom w:val="0"/>
      <w:divBdr>
        <w:top w:val="none" w:sz="0" w:space="0" w:color="auto"/>
        <w:left w:val="none" w:sz="0" w:space="0" w:color="auto"/>
        <w:bottom w:val="none" w:sz="0" w:space="0" w:color="auto"/>
        <w:right w:val="none" w:sz="0" w:space="0" w:color="auto"/>
      </w:divBdr>
    </w:div>
    <w:div w:id="907305151">
      <w:bodyDiv w:val="1"/>
      <w:marLeft w:val="0"/>
      <w:marRight w:val="0"/>
      <w:marTop w:val="0"/>
      <w:marBottom w:val="0"/>
      <w:divBdr>
        <w:top w:val="none" w:sz="0" w:space="0" w:color="auto"/>
        <w:left w:val="none" w:sz="0" w:space="0" w:color="auto"/>
        <w:bottom w:val="none" w:sz="0" w:space="0" w:color="auto"/>
        <w:right w:val="none" w:sz="0" w:space="0" w:color="auto"/>
      </w:divBdr>
    </w:div>
    <w:div w:id="1004893339">
      <w:bodyDiv w:val="1"/>
      <w:marLeft w:val="0"/>
      <w:marRight w:val="0"/>
      <w:marTop w:val="0"/>
      <w:marBottom w:val="0"/>
      <w:divBdr>
        <w:top w:val="none" w:sz="0" w:space="0" w:color="auto"/>
        <w:left w:val="none" w:sz="0" w:space="0" w:color="auto"/>
        <w:bottom w:val="none" w:sz="0" w:space="0" w:color="auto"/>
        <w:right w:val="none" w:sz="0" w:space="0" w:color="auto"/>
      </w:divBdr>
    </w:div>
    <w:div w:id="1054547864">
      <w:bodyDiv w:val="1"/>
      <w:marLeft w:val="0"/>
      <w:marRight w:val="0"/>
      <w:marTop w:val="0"/>
      <w:marBottom w:val="0"/>
      <w:divBdr>
        <w:top w:val="none" w:sz="0" w:space="0" w:color="auto"/>
        <w:left w:val="none" w:sz="0" w:space="0" w:color="auto"/>
        <w:bottom w:val="none" w:sz="0" w:space="0" w:color="auto"/>
        <w:right w:val="none" w:sz="0" w:space="0" w:color="auto"/>
      </w:divBdr>
    </w:div>
    <w:div w:id="1067260590">
      <w:bodyDiv w:val="1"/>
      <w:marLeft w:val="0"/>
      <w:marRight w:val="0"/>
      <w:marTop w:val="0"/>
      <w:marBottom w:val="0"/>
      <w:divBdr>
        <w:top w:val="none" w:sz="0" w:space="0" w:color="auto"/>
        <w:left w:val="none" w:sz="0" w:space="0" w:color="auto"/>
        <w:bottom w:val="none" w:sz="0" w:space="0" w:color="auto"/>
        <w:right w:val="none" w:sz="0" w:space="0" w:color="auto"/>
      </w:divBdr>
    </w:div>
    <w:div w:id="1101410069">
      <w:bodyDiv w:val="1"/>
      <w:marLeft w:val="0"/>
      <w:marRight w:val="0"/>
      <w:marTop w:val="0"/>
      <w:marBottom w:val="0"/>
      <w:divBdr>
        <w:top w:val="none" w:sz="0" w:space="0" w:color="auto"/>
        <w:left w:val="none" w:sz="0" w:space="0" w:color="auto"/>
        <w:bottom w:val="none" w:sz="0" w:space="0" w:color="auto"/>
        <w:right w:val="none" w:sz="0" w:space="0" w:color="auto"/>
      </w:divBdr>
    </w:div>
    <w:div w:id="1115560944">
      <w:bodyDiv w:val="1"/>
      <w:marLeft w:val="0"/>
      <w:marRight w:val="0"/>
      <w:marTop w:val="0"/>
      <w:marBottom w:val="0"/>
      <w:divBdr>
        <w:top w:val="none" w:sz="0" w:space="0" w:color="auto"/>
        <w:left w:val="none" w:sz="0" w:space="0" w:color="auto"/>
        <w:bottom w:val="none" w:sz="0" w:space="0" w:color="auto"/>
        <w:right w:val="none" w:sz="0" w:space="0" w:color="auto"/>
      </w:divBdr>
    </w:div>
    <w:div w:id="1117480052">
      <w:bodyDiv w:val="1"/>
      <w:marLeft w:val="0"/>
      <w:marRight w:val="0"/>
      <w:marTop w:val="0"/>
      <w:marBottom w:val="0"/>
      <w:divBdr>
        <w:top w:val="none" w:sz="0" w:space="0" w:color="auto"/>
        <w:left w:val="none" w:sz="0" w:space="0" w:color="auto"/>
        <w:bottom w:val="none" w:sz="0" w:space="0" w:color="auto"/>
        <w:right w:val="none" w:sz="0" w:space="0" w:color="auto"/>
      </w:divBdr>
    </w:div>
    <w:div w:id="1123691259">
      <w:bodyDiv w:val="1"/>
      <w:marLeft w:val="0"/>
      <w:marRight w:val="0"/>
      <w:marTop w:val="0"/>
      <w:marBottom w:val="0"/>
      <w:divBdr>
        <w:top w:val="none" w:sz="0" w:space="0" w:color="auto"/>
        <w:left w:val="none" w:sz="0" w:space="0" w:color="auto"/>
        <w:bottom w:val="none" w:sz="0" w:space="0" w:color="auto"/>
        <w:right w:val="none" w:sz="0" w:space="0" w:color="auto"/>
      </w:divBdr>
    </w:div>
    <w:div w:id="1225027644">
      <w:bodyDiv w:val="1"/>
      <w:marLeft w:val="0"/>
      <w:marRight w:val="0"/>
      <w:marTop w:val="0"/>
      <w:marBottom w:val="0"/>
      <w:divBdr>
        <w:top w:val="none" w:sz="0" w:space="0" w:color="auto"/>
        <w:left w:val="none" w:sz="0" w:space="0" w:color="auto"/>
        <w:bottom w:val="none" w:sz="0" w:space="0" w:color="auto"/>
        <w:right w:val="none" w:sz="0" w:space="0" w:color="auto"/>
      </w:divBdr>
    </w:div>
    <w:div w:id="1239244367">
      <w:bodyDiv w:val="1"/>
      <w:marLeft w:val="0"/>
      <w:marRight w:val="0"/>
      <w:marTop w:val="0"/>
      <w:marBottom w:val="0"/>
      <w:divBdr>
        <w:top w:val="none" w:sz="0" w:space="0" w:color="auto"/>
        <w:left w:val="none" w:sz="0" w:space="0" w:color="auto"/>
        <w:bottom w:val="none" w:sz="0" w:space="0" w:color="auto"/>
        <w:right w:val="none" w:sz="0" w:space="0" w:color="auto"/>
      </w:divBdr>
    </w:div>
    <w:div w:id="1239706854">
      <w:bodyDiv w:val="1"/>
      <w:marLeft w:val="0"/>
      <w:marRight w:val="0"/>
      <w:marTop w:val="0"/>
      <w:marBottom w:val="0"/>
      <w:divBdr>
        <w:top w:val="none" w:sz="0" w:space="0" w:color="auto"/>
        <w:left w:val="none" w:sz="0" w:space="0" w:color="auto"/>
        <w:bottom w:val="none" w:sz="0" w:space="0" w:color="auto"/>
        <w:right w:val="none" w:sz="0" w:space="0" w:color="auto"/>
      </w:divBdr>
    </w:div>
    <w:div w:id="1268468640">
      <w:bodyDiv w:val="1"/>
      <w:marLeft w:val="0"/>
      <w:marRight w:val="0"/>
      <w:marTop w:val="0"/>
      <w:marBottom w:val="0"/>
      <w:divBdr>
        <w:top w:val="none" w:sz="0" w:space="0" w:color="auto"/>
        <w:left w:val="none" w:sz="0" w:space="0" w:color="auto"/>
        <w:bottom w:val="none" w:sz="0" w:space="0" w:color="auto"/>
        <w:right w:val="none" w:sz="0" w:space="0" w:color="auto"/>
      </w:divBdr>
    </w:div>
    <w:div w:id="1292904607">
      <w:bodyDiv w:val="1"/>
      <w:marLeft w:val="0"/>
      <w:marRight w:val="0"/>
      <w:marTop w:val="0"/>
      <w:marBottom w:val="0"/>
      <w:divBdr>
        <w:top w:val="none" w:sz="0" w:space="0" w:color="auto"/>
        <w:left w:val="none" w:sz="0" w:space="0" w:color="auto"/>
        <w:bottom w:val="none" w:sz="0" w:space="0" w:color="auto"/>
        <w:right w:val="none" w:sz="0" w:space="0" w:color="auto"/>
      </w:divBdr>
    </w:div>
    <w:div w:id="1419641419">
      <w:bodyDiv w:val="1"/>
      <w:marLeft w:val="0"/>
      <w:marRight w:val="0"/>
      <w:marTop w:val="0"/>
      <w:marBottom w:val="0"/>
      <w:divBdr>
        <w:top w:val="none" w:sz="0" w:space="0" w:color="auto"/>
        <w:left w:val="none" w:sz="0" w:space="0" w:color="auto"/>
        <w:bottom w:val="none" w:sz="0" w:space="0" w:color="auto"/>
        <w:right w:val="none" w:sz="0" w:space="0" w:color="auto"/>
      </w:divBdr>
    </w:div>
    <w:div w:id="1604917562">
      <w:bodyDiv w:val="1"/>
      <w:marLeft w:val="0"/>
      <w:marRight w:val="0"/>
      <w:marTop w:val="0"/>
      <w:marBottom w:val="0"/>
      <w:divBdr>
        <w:top w:val="none" w:sz="0" w:space="0" w:color="auto"/>
        <w:left w:val="none" w:sz="0" w:space="0" w:color="auto"/>
        <w:bottom w:val="none" w:sz="0" w:space="0" w:color="auto"/>
        <w:right w:val="none" w:sz="0" w:space="0" w:color="auto"/>
      </w:divBdr>
    </w:div>
    <w:div w:id="1696227237">
      <w:bodyDiv w:val="1"/>
      <w:marLeft w:val="0"/>
      <w:marRight w:val="0"/>
      <w:marTop w:val="0"/>
      <w:marBottom w:val="0"/>
      <w:divBdr>
        <w:top w:val="none" w:sz="0" w:space="0" w:color="auto"/>
        <w:left w:val="none" w:sz="0" w:space="0" w:color="auto"/>
        <w:bottom w:val="none" w:sz="0" w:space="0" w:color="auto"/>
        <w:right w:val="none" w:sz="0" w:space="0" w:color="auto"/>
      </w:divBdr>
    </w:div>
    <w:div w:id="1710031620">
      <w:bodyDiv w:val="1"/>
      <w:marLeft w:val="0"/>
      <w:marRight w:val="0"/>
      <w:marTop w:val="0"/>
      <w:marBottom w:val="0"/>
      <w:divBdr>
        <w:top w:val="none" w:sz="0" w:space="0" w:color="auto"/>
        <w:left w:val="none" w:sz="0" w:space="0" w:color="auto"/>
        <w:bottom w:val="none" w:sz="0" w:space="0" w:color="auto"/>
        <w:right w:val="none" w:sz="0" w:space="0" w:color="auto"/>
      </w:divBdr>
    </w:div>
    <w:div w:id="1786345930">
      <w:bodyDiv w:val="1"/>
      <w:marLeft w:val="0"/>
      <w:marRight w:val="0"/>
      <w:marTop w:val="0"/>
      <w:marBottom w:val="0"/>
      <w:divBdr>
        <w:top w:val="none" w:sz="0" w:space="0" w:color="auto"/>
        <w:left w:val="none" w:sz="0" w:space="0" w:color="auto"/>
        <w:bottom w:val="none" w:sz="0" w:space="0" w:color="auto"/>
        <w:right w:val="none" w:sz="0" w:space="0" w:color="auto"/>
      </w:divBdr>
    </w:div>
    <w:div w:id="1805923091">
      <w:bodyDiv w:val="1"/>
      <w:marLeft w:val="0"/>
      <w:marRight w:val="0"/>
      <w:marTop w:val="0"/>
      <w:marBottom w:val="0"/>
      <w:divBdr>
        <w:top w:val="none" w:sz="0" w:space="0" w:color="auto"/>
        <w:left w:val="none" w:sz="0" w:space="0" w:color="auto"/>
        <w:bottom w:val="none" w:sz="0" w:space="0" w:color="auto"/>
        <w:right w:val="none" w:sz="0" w:space="0" w:color="auto"/>
      </w:divBdr>
    </w:div>
    <w:div w:id="1826705976">
      <w:bodyDiv w:val="1"/>
      <w:marLeft w:val="0"/>
      <w:marRight w:val="0"/>
      <w:marTop w:val="0"/>
      <w:marBottom w:val="0"/>
      <w:divBdr>
        <w:top w:val="none" w:sz="0" w:space="0" w:color="auto"/>
        <w:left w:val="none" w:sz="0" w:space="0" w:color="auto"/>
        <w:bottom w:val="none" w:sz="0" w:space="0" w:color="auto"/>
        <w:right w:val="none" w:sz="0" w:space="0" w:color="auto"/>
      </w:divBdr>
    </w:div>
    <w:div w:id="1902476816">
      <w:bodyDiv w:val="1"/>
      <w:marLeft w:val="0"/>
      <w:marRight w:val="0"/>
      <w:marTop w:val="0"/>
      <w:marBottom w:val="0"/>
      <w:divBdr>
        <w:top w:val="none" w:sz="0" w:space="0" w:color="auto"/>
        <w:left w:val="none" w:sz="0" w:space="0" w:color="auto"/>
        <w:bottom w:val="none" w:sz="0" w:space="0" w:color="auto"/>
        <w:right w:val="none" w:sz="0" w:space="0" w:color="auto"/>
      </w:divBdr>
    </w:div>
    <w:div w:id="1979648625">
      <w:bodyDiv w:val="1"/>
      <w:marLeft w:val="0"/>
      <w:marRight w:val="0"/>
      <w:marTop w:val="0"/>
      <w:marBottom w:val="0"/>
      <w:divBdr>
        <w:top w:val="none" w:sz="0" w:space="0" w:color="auto"/>
        <w:left w:val="none" w:sz="0" w:space="0" w:color="auto"/>
        <w:bottom w:val="none" w:sz="0" w:space="0" w:color="auto"/>
        <w:right w:val="none" w:sz="0" w:space="0" w:color="auto"/>
      </w:divBdr>
    </w:div>
    <w:div w:id="1982878727">
      <w:bodyDiv w:val="1"/>
      <w:marLeft w:val="0"/>
      <w:marRight w:val="0"/>
      <w:marTop w:val="0"/>
      <w:marBottom w:val="0"/>
      <w:divBdr>
        <w:top w:val="none" w:sz="0" w:space="0" w:color="auto"/>
        <w:left w:val="none" w:sz="0" w:space="0" w:color="auto"/>
        <w:bottom w:val="none" w:sz="0" w:space="0" w:color="auto"/>
        <w:right w:val="none" w:sz="0" w:space="0" w:color="auto"/>
      </w:divBdr>
    </w:div>
    <w:div w:id="2009281703">
      <w:bodyDiv w:val="1"/>
      <w:marLeft w:val="0"/>
      <w:marRight w:val="0"/>
      <w:marTop w:val="0"/>
      <w:marBottom w:val="0"/>
      <w:divBdr>
        <w:top w:val="none" w:sz="0" w:space="0" w:color="auto"/>
        <w:left w:val="none" w:sz="0" w:space="0" w:color="auto"/>
        <w:bottom w:val="none" w:sz="0" w:space="0" w:color="auto"/>
        <w:right w:val="none" w:sz="0" w:space="0" w:color="auto"/>
      </w:divBdr>
    </w:div>
    <w:div w:id="2019574476">
      <w:bodyDiv w:val="1"/>
      <w:marLeft w:val="0"/>
      <w:marRight w:val="0"/>
      <w:marTop w:val="0"/>
      <w:marBottom w:val="0"/>
      <w:divBdr>
        <w:top w:val="none" w:sz="0" w:space="0" w:color="auto"/>
        <w:left w:val="none" w:sz="0" w:space="0" w:color="auto"/>
        <w:bottom w:val="none" w:sz="0" w:space="0" w:color="auto"/>
        <w:right w:val="none" w:sz="0" w:space="0" w:color="auto"/>
      </w:divBdr>
    </w:div>
    <w:div w:id="2021001907">
      <w:bodyDiv w:val="1"/>
      <w:marLeft w:val="0"/>
      <w:marRight w:val="0"/>
      <w:marTop w:val="0"/>
      <w:marBottom w:val="0"/>
      <w:divBdr>
        <w:top w:val="none" w:sz="0" w:space="0" w:color="auto"/>
        <w:left w:val="none" w:sz="0" w:space="0" w:color="auto"/>
        <w:bottom w:val="none" w:sz="0" w:space="0" w:color="auto"/>
        <w:right w:val="none" w:sz="0" w:space="0" w:color="auto"/>
      </w:divBdr>
    </w:div>
    <w:div w:id="2070687943">
      <w:bodyDiv w:val="1"/>
      <w:marLeft w:val="0"/>
      <w:marRight w:val="0"/>
      <w:marTop w:val="0"/>
      <w:marBottom w:val="0"/>
      <w:divBdr>
        <w:top w:val="none" w:sz="0" w:space="0" w:color="auto"/>
        <w:left w:val="none" w:sz="0" w:space="0" w:color="auto"/>
        <w:bottom w:val="none" w:sz="0" w:space="0" w:color="auto"/>
        <w:right w:val="none" w:sz="0" w:space="0" w:color="auto"/>
      </w:divBdr>
    </w:div>
    <w:div w:id="2079552748">
      <w:bodyDiv w:val="1"/>
      <w:marLeft w:val="0"/>
      <w:marRight w:val="0"/>
      <w:marTop w:val="0"/>
      <w:marBottom w:val="0"/>
      <w:divBdr>
        <w:top w:val="none" w:sz="0" w:space="0" w:color="auto"/>
        <w:left w:val="none" w:sz="0" w:space="0" w:color="auto"/>
        <w:bottom w:val="none" w:sz="0" w:space="0" w:color="auto"/>
        <w:right w:val="none" w:sz="0" w:space="0" w:color="auto"/>
      </w:divBdr>
    </w:div>
    <w:div w:id="2090344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CrOuI6Amia4Kfw62+o7PMUVpnw==">AMUW2mWegehj/4taxCWlVXFX3EUnNbut4TMzOXriAtu2ekr4Jj3D+VurvBt0ED2AwRTqMjVcLp0urGUgF/71d6lXpcgsyCi0CEEnLXfTA44F5PDdcO7LjFSKfvkA/ceHLYSVqShuyUcD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097D4D-297D-4FCA-9997-E8E9DAAF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3973</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 Nedovic</dc:creator>
  <cp:lastModifiedBy>Maja Raicevic</cp:lastModifiedBy>
  <cp:revision>6</cp:revision>
  <cp:lastPrinted>2025-04-15T11:06:00Z</cp:lastPrinted>
  <dcterms:created xsi:type="dcterms:W3CDTF">2025-04-10T12:48:00Z</dcterms:created>
  <dcterms:modified xsi:type="dcterms:W3CDTF">2025-04-15T11:06:00Z</dcterms:modified>
</cp:coreProperties>
</file>